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framePr w:wrap="auto" w:vAnchor="margin" w:hAnchor="text" w:yAlign="inline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suppressAutoHyphens/>
        <w:bidi w:val="0"/>
        <w:spacing w:before="0" w:beforeAutospacing="0" w:after="0" w:afterAutospacing="0" w:line="360" w:lineRule="auto"/>
        <w:ind w:left="0" w:right="0"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bCs/>
          <w:spacing w:val="0"/>
          <w:w w:val="100"/>
          <w:kern w:val="0"/>
          <w:position w:val="0"/>
          <w:sz w:val="40"/>
          <w:szCs w:val="40"/>
          <w:u w:val="none"/>
          <w:shd w:val="clear"/>
          <w:vertAlign w:val="baseline"/>
          <w:lang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spacing w:val="0"/>
          <w:w w:val="100"/>
          <w:kern w:val="0"/>
          <w:position w:val="0"/>
          <w:sz w:val="40"/>
          <w:szCs w:val="40"/>
          <w:u w:val="none"/>
          <w:shd w:val="clear"/>
          <w:vertAlign w:val="baseline"/>
          <w:rtl w:val="0"/>
          <w:lang w:val="zh-TW" w:eastAsia="zh-TW" w:bidi="ar-SA"/>
        </w:rPr>
        <w:t>《</w:t>
      </w:r>
      <w:r>
        <w:rPr>
          <w:rFonts w:hint="eastAsia" w:ascii="方正小标宋简体" w:hAnsi="方正小标宋简体" w:eastAsia="方正小标宋简体" w:cs="方正小标宋简体"/>
          <w:bCs/>
          <w:spacing w:val="0"/>
          <w:w w:val="100"/>
          <w:kern w:val="0"/>
          <w:position w:val="0"/>
          <w:sz w:val="40"/>
          <w:szCs w:val="40"/>
          <w:u w:val="none"/>
          <w:shd w:val="clear"/>
          <w:vertAlign w:val="baseline"/>
          <w:rtl w:val="0"/>
          <w:lang w:val="en-US" w:eastAsia="zh-CN" w:bidi="ar-SA"/>
        </w:rPr>
        <w:t>2023</w:t>
      </w:r>
      <w:r>
        <w:rPr>
          <w:rFonts w:hint="eastAsia" w:ascii="方正小标宋简体" w:hAnsi="方正小标宋简体" w:eastAsia="方正小标宋简体" w:cs="方正小标宋简体"/>
          <w:bCs/>
          <w:spacing w:val="0"/>
          <w:w w:val="100"/>
          <w:kern w:val="0"/>
          <w:position w:val="0"/>
          <w:sz w:val="40"/>
          <w:szCs w:val="40"/>
          <w:u w:val="none"/>
          <w:shd w:val="clear"/>
          <w:vertAlign w:val="baseline"/>
          <w:rtl w:val="0"/>
          <w:lang w:val="zh-TW" w:eastAsia="zh-TW" w:bidi="ar-SA"/>
        </w:rPr>
        <w:t>年度湾区金融创新案例》</w:t>
      </w:r>
    </w:p>
    <w:p>
      <w:pPr>
        <w:keepNext w:val="0"/>
        <w:keepLines w:val="0"/>
        <w:pageBreakBefore w:val="0"/>
        <w:framePr w:wrap="auto" w:vAnchor="margin" w:hAnchor="text" w:yAlign="inline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suppressAutoHyphens/>
        <w:bidi w:val="0"/>
        <w:spacing w:before="0" w:beforeAutospacing="0" w:after="0" w:afterAutospacing="0" w:line="360" w:lineRule="auto"/>
        <w:ind w:left="0" w:right="0" w:firstLine="0"/>
        <w:jc w:val="center"/>
        <w:outlineLvl w:val="9"/>
        <w:rPr>
          <w:rFonts w:hint="default" w:ascii="方正小标宋简体" w:hAnsi="方正小标宋简体" w:eastAsia="方正小标宋简体" w:cs="方正小标宋简体"/>
          <w:bCs/>
          <w:spacing w:val="0"/>
          <w:w w:val="100"/>
          <w:kern w:val="0"/>
          <w:position w:val="0"/>
          <w:sz w:val="40"/>
          <w:szCs w:val="40"/>
          <w:u w:val="none"/>
          <w:shd w:val="clear"/>
          <w:vertAlign w:val="baseline"/>
          <w:lang w:val="en-US" w:eastAsia="zh-Hans" w:bidi="ar-SA"/>
        </w:rPr>
      </w:pPr>
      <w:r>
        <w:rPr>
          <w:rFonts w:hint="eastAsia" w:ascii="方正小标宋简体" w:hAnsi="方正小标宋简体" w:eastAsia="方正小标宋简体" w:cs="方正小标宋简体"/>
          <w:bCs/>
          <w:spacing w:val="0"/>
          <w:w w:val="100"/>
          <w:kern w:val="0"/>
          <w:position w:val="0"/>
          <w:sz w:val="40"/>
          <w:szCs w:val="40"/>
          <w:u w:val="none"/>
          <w:shd w:val="clear"/>
          <w:vertAlign w:val="baseline"/>
          <w:rtl w:val="0"/>
          <w:lang w:val="en-US" w:eastAsia="zh-Hans" w:bidi="ar-SA"/>
        </w:rPr>
        <w:t>申报手册</w:t>
      </w:r>
    </w:p>
    <w:p>
      <w:pPr>
        <w:framePr w:wrap="auto" w:vAnchor="margin" w:hAnchor="text" w:yAlign="inline"/>
        <w:rPr>
          <w:rFonts w:ascii="仿宋" w:hAnsi="仿宋" w:eastAsia="仿宋" w:cs="仿宋"/>
          <w:sz w:val="24"/>
          <w:szCs w:val="24"/>
        </w:rPr>
      </w:pPr>
    </w:p>
    <w:p>
      <w:pPr>
        <w:framePr w:wrap="auto" w:vAnchor="margin" w:hAnchor="text" w:yAlign="inline"/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zh-TW" w:eastAsia="zh-TW"/>
        </w:rPr>
      </w:pPr>
      <w:r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  <w:t>一、案例征集背景</w:t>
      </w:r>
    </w:p>
    <w:p>
      <w:pPr>
        <w:framePr w:wrap="auto" w:vAnchor="margin" w:hAnchor="text" w:yAlign="inline"/>
        <w:shd w:val="clear" w:color="auto" w:fill="auto"/>
        <w:spacing w:line="360" w:lineRule="auto"/>
        <w:ind w:firstLine="640"/>
        <w:rPr>
          <w:rFonts w:hint="default" w:ascii="仿宋" w:hAnsi="仿宋" w:eastAsia="仿宋" w:cs="仿宋"/>
          <w:sz w:val="28"/>
          <w:szCs w:val="28"/>
          <w:rtl w:val="0"/>
          <w:lang w:val="zh-CN" w:eastAsia="zh-CN"/>
        </w:rPr>
      </w:pPr>
      <w:r>
        <w:rPr>
          <w:rFonts w:hint="eastAsia" w:ascii="仿宋" w:hAnsi="仿宋" w:eastAsia="仿宋" w:cs="仿宋"/>
          <w:sz w:val="28"/>
          <w:szCs w:val="28"/>
          <w:rtl w:val="0"/>
          <w:lang w:val="zh-CN" w:eastAsia="zh-CN"/>
        </w:rPr>
        <w:t>今年是《粤港澳大湾区发展规划纲要》发布实施</w:t>
      </w:r>
      <w:r>
        <w:rPr>
          <w:rFonts w:hint="eastAsia" w:ascii="仿宋" w:hAnsi="仿宋" w:eastAsia="仿宋" w:cs="仿宋"/>
          <w:sz w:val="28"/>
          <w:szCs w:val="28"/>
          <w:rtl w:val="0"/>
          <w:lang w:val="en-US" w:eastAsia="zh-CN"/>
        </w:rPr>
        <w:t>四</w:t>
      </w:r>
      <w:r>
        <w:rPr>
          <w:rFonts w:hint="eastAsia" w:ascii="仿宋" w:hAnsi="仿宋" w:eastAsia="仿宋" w:cs="仿宋"/>
          <w:sz w:val="28"/>
          <w:szCs w:val="28"/>
          <w:rtl w:val="0"/>
          <w:lang w:val="zh-CN" w:eastAsia="zh-CN"/>
        </w:rPr>
        <w:t>周年。</w:t>
      </w:r>
      <w:r>
        <w:rPr>
          <w:rFonts w:hint="default" w:ascii="仿宋" w:hAnsi="仿宋" w:eastAsia="仿宋" w:cs="仿宋"/>
          <w:sz w:val="28"/>
          <w:szCs w:val="28"/>
          <w:rtl w:val="0"/>
          <w:lang w:val="zh-CN" w:eastAsia="zh-CN"/>
        </w:rPr>
        <w:t>重大战略定位、重磅支持政策，正为粤港澳大湾区的发展注入新的强劲动力、</w:t>
      </w:r>
      <w:r>
        <w:rPr>
          <w:rFonts w:hint="eastAsia" w:ascii="仿宋" w:hAnsi="仿宋" w:eastAsia="仿宋" w:cs="仿宋"/>
          <w:sz w:val="28"/>
          <w:szCs w:val="28"/>
          <w:rtl w:val="0"/>
          <w:lang w:val="en-US" w:eastAsia="zh-Hans"/>
        </w:rPr>
        <w:t>湾区发展迎来了更高水平的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rtl w:val="0"/>
          <w:lang w:val="en-US" w:eastAsia="zh-Hans"/>
        </w:rPr>
        <w:t>发展阶段</w:t>
      </w:r>
      <w:r>
        <w:rPr>
          <w:rFonts w:hint="default" w:ascii="仿宋" w:hAnsi="仿宋" w:eastAsia="仿宋" w:cs="仿宋"/>
          <w:sz w:val="28"/>
          <w:szCs w:val="28"/>
          <w:rtl w:val="0"/>
          <w:lang w:val="zh-CN" w:eastAsia="zh-CN"/>
        </w:rPr>
        <w:t>。</w:t>
      </w:r>
    </w:p>
    <w:p>
      <w:pPr>
        <w:framePr w:wrap="auto" w:vAnchor="margin" w:hAnchor="text" w:yAlign="inline"/>
        <w:shd w:val="clear" w:color="auto" w:fill="auto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rtl w:val="0"/>
          <w:lang w:val="zh-CN" w:eastAsia="zh-CN"/>
        </w:rPr>
      </w:pPr>
      <w:r>
        <w:rPr>
          <w:rFonts w:hint="eastAsia" w:ascii="仿宋" w:hAnsi="仿宋" w:eastAsia="仿宋" w:cs="仿宋"/>
          <w:sz w:val="28"/>
          <w:szCs w:val="28"/>
          <w:rtl w:val="0"/>
          <w:lang w:val="en-US" w:eastAsia="zh-CN"/>
        </w:rPr>
        <w:t>四</w:t>
      </w:r>
      <w:r>
        <w:rPr>
          <w:rFonts w:hint="default" w:ascii="仿宋" w:hAnsi="仿宋" w:eastAsia="仿宋" w:cs="仿宋"/>
          <w:sz w:val="28"/>
          <w:szCs w:val="28"/>
          <w:rtl w:val="0"/>
          <w:lang w:val="zh-CN" w:eastAsia="zh-CN"/>
        </w:rPr>
        <w:t>年多以来，粤港澳三地金融监管部门会同有关部门积极出台细化落实举措，推动粤港澳金融合作不断加深，大湾区金融改革亮点频出，很多改革措施在全国都是开创性的。尤其是大湾区金融融合发展提速，共建国际金融枢纽的号角已在南粤大地吹响，为实体经济的肌体注入强劲的动力，成为湾区高质量发展的“金融引擎</w:t>
      </w:r>
      <w:r>
        <w:rPr>
          <w:rFonts w:hint="eastAsia" w:ascii="仿宋" w:hAnsi="仿宋" w:eastAsia="仿宋" w:cs="仿宋"/>
          <w:sz w:val="28"/>
          <w:szCs w:val="28"/>
          <w:rtl w:val="0"/>
          <w:lang w:val="zh-CN" w:eastAsia="zh-Hans"/>
        </w:rPr>
        <w:t>”</w:t>
      </w:r>
      <w:r>
        <w:rPr>
          <w:rFonts w:hint="default" w:ascii="仿宋" w:hAnsi="仿宋" w:eastAsia="仿宋" w:cs="仿宋"/>
          <w:sz w:val="28"/>
          <w:szCs w:val="28"/>
          <w:rtl w:val="0"/>
          <w:lang w:eastAsia="zh-Hans"/>
        </w:rPr>
        <w:t>。</w:t>
      </w:r>
    </w:p>
    <w:p>
      <w:pPr>
        <w:framePr w:wrap="auto" w:vAnchor="margin" w:hAnchor="text" w:yAlign="inline"/>
        <w:spacing w:line="360" w:lineRule="auto"/>
        <w:ind w:firstLine="640"/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</w:pPr>
      <w:r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  <w:t>为聚焦粤港澳大湾区金融创新发展成果，对大湾区金融创新及金融服务实体经济提出更有效的引导和参考，南方财经全媒体集团</w:t>
      </w:r>
      <w:r>
        <w:rPr>
          <w:rFonts w:hint="default" w:ascii="仿宋" w:hAnsi="仿宋" w:eastAsia="仿宋" w:cs="仿宋"/>
          <w:sz w:val="28"/>
          <w:szCs w:val="28"/>
          <w:rtl w:val="0"/>
          <w:lang w:eastAsia="zh-TW"/>
        </w:rPr>
        <w:t>、</w:t>
      </w:r>
      <w:r>
        <w:rPr>
          <w:rFonts w:hint="eastAsia" w:ascii="仿宋" w:hAnsi="仿宋" w:eastAsia="仿宋" w:cs="仿宋"/>
          <w:sz w:val="28"/>
          <w:szCs w:val="28"/>
          <w:rtl w:val="0"/>
          <w:lang w:val="en-US" w:eastAsia="zh-CN"/>
        </w:rPr>
        <w:t>21世纪经济报道</w:t>
      </w:r>
      <w:r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  <w:t>拟</w:t>
      </w:r>
      <w:r>
        <w:rPr>
          <w:rFonts w:hint="eastAsia" w:ascii="仿宋" w:hAnsi="仿宋" w:eastAsia="仿宋" w:cs="仿宋"/>
          <w:sz w:val="28"/>
          <w:szCs w:val="28"/>
          <w:rtl w:val="0"/>
          <w:lang w:val="en-US" w:eastAsia="zh-Hans"/>
        </w:rPr>
        <w:t>面向全国</w:t>
      </w:r>
      <w:r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  <w:t>发起《</w:t>
      </w:r>
      <w:r>
        <w:rPr>
          <w:rFonts w:hint="eastAsia" w:ascii="仿宋" w:hAnsi="仿宋" w:eastAsia="仿宋" w:cs="仿宋"/>
          <w:sz w:val="28"/>
          <w:szCs w:val="28"/>
          <w:rtl w:val="0"/>
          <w:lang w:val="en-US" w:eastAsia="zh-TW"/>
        </w:rPr>
        <w:t>202</w:t>
      </w:r>
      <w:r>
        <w:rPr>
          <w:rFonts w:hint="eastAsia" w:ascii="仿宋" w:hAnsi="仿宋" w:eastAsia="仿宋" w:cs="仿宋"/>
          <w:sz w:val="28"/>
          <w:szCs w:val="28"/>
          <w:rtl w:val="0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  <w:t>年度湾区金融创新案例》征集活动。</w:t>
      </w:r>
    </w:p>
    <w:p>
      <w:pPr>
        <w:framePr w:wrap="auto" w:vAnchor="margin" w:hAnchor="text" w:yAlign="inline"/>
        <w:shd w:val="clear" w:color="auto" w:fill="auto"/>
        <w:spacing w:line="360" w:lineRule="auto"/>
        <w:ind w:firstLine="640"/>
        <w:rPr>
          <w:rFonts w:hint="eastAsia" w:ascii="仿宋" w:hAnsi="仿宋" w:eastAsia="仿宋" w:cs="仿宋"/>
          <w:sz w:val="28"/>
          <w:szCs w:val="28"/>
          <w:rtl w:val="0"/>
          <w:lang w:val="zh-CN" w:eastAsia="zh-CN"/>
        </w:rPr>
      </w:pPr>
      <w:r>
        <w:rPr>
          <w:rFonts w:hint="eastAsia" w:ascii="仿宋" w:hAnsi="仿宋" w:eastAsia="仿宋" w:cs="仿宋"/>
          <w:sz w:val="28"/>
          <w:szCs w:val="28"/>
          <w:rtl w:val="0"/>
          <w:lang w:val="zh-CN" w:eastAsia="zh-CN"/>
        </w:rPr>
        <w:t>此次征集，旨在通过征集金融领域的创新案例，</w:t>
      </w:r>
      <w:r>
        <w:rPr>
          <w:rFonts w:hint="eastAsia" w:ascii="仿宋" w:hAnsi="仿宋" w:eastAsia="仿宋" w:cs="仿宋"/>
          <w:sz w:val="28"/>
          <w:szCs w:val="28"/>
          <w:rtl w:val="0"/>
          <w:lang w:val="en-US" w:eastAsia="zh-Hans"/>
        </w:rPr>
        <w:t>在</w:t>
      </w:r>
      <w:r>
        <w:rPr>
          <w:rFonts w:hint="eastAsia" w:ascii="仿宋" w:hAnsi="仿宋" w:eastAsia="仿宋" w:cs="仿宋"/>
          <w:b/>
          <w:bCs/>
          <w:sz w:val="28"/>
          <w:szCs w:val="28"/>
          <w:rtl w:val="0"/>
          <w:lang w:val="en-US" w:eastAsia="zh-Hans"/>
        </w:rPr>
        <w:t>全国范围内遴选服务于大湾区的</w:t>
      </w:r>
      <w:r>
        <w:rPr>
          <w:rFonts w:hint="eastAsia" w:ascii="仿宋" w:hAnsi="仿宋" w:eastAsia="仿宋" w:cs="仿宋"/>
          <w:b/>
          <w:bCs/>
          <w:sz w:val="28"/>
          <w:szCs w:val="28"/>
          <w:rtl w:val="0"/>
          <w:lang w:val="zh-CN" w:eastAsia="zh-CN"/>
        </w:rPr>
        <w:t>优质金融创新机构、</w:t>
      </w:r>
      <w:r>
        <w:rPr>
          <w:rFonts w:hint="eastAsia" w:ascii="仿宋" w:hAnsi="仿宋" w:eastAsia="仿宋" w:cs="仿宋"/>
          <w:b/>
          <w:bCs/>
          <w:sz w:val="28"/>
          <w:szCs w:val="28"/>
          <w:rtl w:val="0"/>
          <w:lang w:val="en-US" w:eastAsia="zh-Hans"/>
        </w:rPr>
        <w:t>企业的创新案例</w:t>
      </w:r>
      <w:r>
        <w:rPr>
          <w:rFonts w:hint="eastAsia" w:ascii="仿宋" w:hAnsi="仿宋" w:eastAsia="仿宋" w:cs="仿宋"/>
          <w:sz w:val="28"/>
          <w:szCs w:val="28"/>
          <w:rtl w:val="0"/>
          <w:lang w:val="zh-CN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rtl w:val="0"/>
          <w:lang w:val="en-US" w:eastAsia="zh-CN"/>
        </w:rPr>
        <w:t>鼓励</w:t>
      </w:r>
      <w:r>
        <w:rPr>
          <w:rFonts w:hint="eastAsia" w:ascii="仿宋" w:hAnsi="仿宋" w:eastAsia="仿宋" w:cs="仿宋"/>
          <w:sz w:val="28"/>
          <w:szCs w:val="28"/>
          <w:rtl w:val="0"/>
          <w:lang w:val="en-US" w:eastAsia="zh-Hans"/>
        </w:rPr>
        <w:t>全国范围内</w:t>
      </w:r>
      <w:r>
        <w:rPr>
          <w:rFonts w:hint="eastAsia" w:ascii="仿宋" w:hAnsi="仿宋" w:eastAsia="仿宋" w:cs="仿宋"/>
          <w:sz w:val="28"/>
          <w:szCs w:val="28"/>
          <w:rtl w:val="0"/>
          <w:lang w:val="zh-CN" w:eastAsia="zh-CN"/>
        </w:rPr>
        <w:t>致力于金融创新发展的优秀</w:t>
      </w:r>
      <w:r>
        <w:rPr>
          <w:rFonts w:hint="eastAsia" w:ascii="仿宋" w:hAnsi="仿宋" w:eastAsia="仿宋" w:cs="仿宋"/>
          <w:sz w:val="28"/>
          <w:szCs w:val="28"/>
          <w:rtl w:val="0"/>
          <w:lang w:val="en-US" w:eastAsia="zh-Hans"/>
        </w:rPr>
        <w:t>机构</w:t>
      </w:r>
      <w:r>
        <w:rPr>
          <w:rFonts w:hint="eastAsia" w:ascii="仿宋" w:hAnsi="仿宋" w:eastAsia="仿宋" w:cs="仿宋"/>
          <w:sz w:val="28"/>
          <w:szCs w:val="28"/>
          <w:rtl w:val="0"/>
          <w:lang w:val="zh-CN" w:eastAsia="zh-CN"/>
        </w:rPr>
        <w:t>和</w:t>
      </w:r>
      <w:r>
        <w:rPr>
          <w:rFonts w:hint="eastAsia" w:ascii="仿宋" w:hAnsi="仿宋" w:eastAsia="仿宋" w:cs="仿宋"/>
          <w:sz w:val="28"/>
          <w:szCs w:val="28"/>
          <w:rtl w:val="0"/>
          <w:lang w:val="en-US" w:eastAsia="zh-Hans"/>
        </w:rPr>
        <w:t>企业</w:t>
      </w:r>
      <w:r>
        <w:rPr>
          <w:rFonts w:hint="eastAsia" w:ascii="仿宋" w:hAnsi="仿宋" w:eastAsia="仿宋" w:cs="仿宋"/>
          <w:sz w:val="28"/>
          <w:szCs w:val="28"/>
          <w:rtl w:val="0"/>
          <w:lang w:val="zh-CN" w:eastAsia="zh-CN"/>
        </w:rPr>
        <w:t>，为大湾区</w:t>
      </w:r>
      <w:r>
        <w:rPr>
          <w:rFonts w:hint="eastAsia" w:ascii="仿宋" w:hAnsi="仿宋" w:eastAsia="仿宋" w:cs="仿宋"/>
          <w:sz w:val="28"/>
          <w:szCs w:val="28"/>
          <w:rtl w:val="0"/>
          <w:lang w:val="en-US" w:eastAsia="zh-Hans"/>
        </w:rPr>
        <w:t>乃至全国</w:t>
      </w:r>
      <w:r>
        <w:rPr>
          <w:rFonts w:hint="eastAsia" w:ascii="仿宋" w:hAnsi="仿宋" w:eastAsia="仿宋" w:cs="仿宋"/>
          <w:sz w:val="28"/>
          <w:szCs w:val="28"/>
          <w:rtl w:val="0"/>
          <w:lang w:val="zh-CN" w:eastAsia="zh-CN"/>
        </w:rPr>
        <w:t>金融的高质量发展提供切实有效的思考和建议。</w:t>
      </w:r>
    </w:p>
    <w:p>
      <w:pPr>
        <w:framePr w:wrap="auto" w:vAnchor="margin" w:hAnchor="text" w:yAlign="inline"/>
        <w:shd w:val="clear" w:color="auto" w:fill="auto"/>
        <w:spacing w:line="360" w:lineRule="auto"/>
        <w:ind w:firstLine="640"/>
        <w:rPr>
          <w:rFonts w:hint="eastAsia" w:ascii="仿宋" w:hAnsi="仿宋" w:eastAsia="仿宋" w:cs="仿宋"/>
          <w:sz w:val="28"/>
          <w:szCs w:val="28"/>
          <w:rtl w:val="0"/>
          <w:lang w:val="zh-CN" w:eastAsia="zh-CN"/>
        </w:rPr>
      </w:pPr>
      <w:r>
        <w:rPr>
          <w:rFonts w:hint="eastAsia" w:ascii="仿宋" w:hAnsi="仿宋" w:eastAsia="仿宋" w:cs="仿宋"/>
          <w:sz w:val="28"/>
          <w:szCs w:val="28"/>
          <w:rtl w:val="0"/>
          <w:lang w:val="zh-CN" w:eastAsia="zh-CN"/>
        </w:rPr>
        <w:t>此外，</w:t>
      </w:r>
      <w:r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  <w:t>在《</w:t>
      </w:r>
      <w:r>
        <w:rPr>
          <w:rFonts w:hint="eastAsia" w:ascii="仿宋" w:hAnsi="仿宋" w:eastAsia="仿宋" w:cs="仿宋"/>
          <w:sz w:val="28"/>
          <w:szCs w:val="28"/>
          <w:rtl w:val="0"/>
          <w:lang w:val="en-US" w:eastAsia="zh-CN"/>
        </w:rPr>
        <w:t>2023</w:t>
      </w:r>
      <w:r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  <w:t>年度湾区金融创新案例》征集完成后，</w:t>
      </w:r>
      <w:r>
        <w:rPr>
          <w:rFonts w:hint="eastAsia" w:ascii="仿宋" w:hAnsi="仿宋" w:eastAsia="仿宋" w:cs="仿宋"/>
          <w:sz w:val="28"/>
          <w:szCs w:val="28"/>
          <w:rtl w:val="0"/>
          <w:lang w:val="en-US" w:eastAsia="zh-Hans"/>
        </w:rPr>
        <w:t>将在</w:t>
      </w:r>
      <w:r>
        <w:rPr>
          <w:rFonts w:hint="default" w:ascii="仿宋" w:hAnsi="仿宋" w:eastAsia="仿宋" w:cs="仿宋"/>
          <w:sz w:val="28"/>
          <w:szCs w:val="28"/>
          <w:rtl w:val="0"/>
          <w:lang w:val="zh-TW" w:eastAsia="zh-Hans"/>
        </w:rPr>
        <w:t>202</w:t>
      </w:r>
      <w:r>
        <w:rPr>
          <w:rFonts w:hint="eastAsia" w:ascii="仿宋" w:hAnsi="仿宋" w:eastAsia="仿宋" w:cs="仿宋"/>
          <w:sz w:val="28"/>
          <w:szCs w:val="28"/>
          <w:rtl w:val="0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rtl w:val="0"/>
          <w:lang w:val="en-US" w:eastAsia="zh-Hans"/>
        </w:rPr>
        <w:t>年</w:t>
      </w:r>
      <w:r>
        <w:rPr>
          <w:rFonts w:hint="default" w:ascii="仿宋" w:hAnsi="仿宋" w:eastAsia="仿宋" w:cs="仿宋"/>
          <w:sz w:val="28"/>
          <w:szCs w:val="28"/>
          <w:rtl w:val="0"/>
          <w:lang w:val="zh-TW" w:eastAsia="zh-Hans"/>
        </w:rPr>
        <w:t>12</w:t>
      </w:r>
      <w:r>
        <w:rPr>
          <w:rFonts w:hint="eastAsia" w:ascii="仿宋" w:hAnsi="仿宋" w:eastAsia="仿宋" w:cs="仿宋"/>
          <w:sz w:val="28"/>
          <w:szCs w:val="28"/>
          <w:rtl w:val="0"/>
          <w:lang w:val="en-US" w:eastAsia="zh-Hans"/>
        </w:rPr>
        <w:t>月</w:t>
      </w:r>
      <w:r>
        <w:rPr>
          <w:rFonts w:hint="default" w:ascii="仿宋" w:hAnsi="仿宋" w:eastAsia="仿宋" w:cs="仿宋"/>
          <w:sz w:val="28"/>
          <w:szCs w:val="28"/>
          <w:rtl w:val="0"/>
          <w:lang w:val="zh-TW" w:eastAsia="zh-Hans"/>
        </w:rPr>
        <w:t>1</w:t>
      </w:r>
      <w:r>
        <w:rPr>
          <w:rFonts w:hint="eastAsia" w:ascii="仿宋" w:hAnsi="仿宋" w:eastAsia="仿宋" w:cs="仿宋"/>
          <w:sz w:val="28"/>
          <w:szCs w:val="28"/>
          <w:rtl w:val="0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rtl w:val="0"/>
          <w:lang w:val="en-US" w:eastAsia="zh-Hans"/>
        </w:rPr>
        <w:t>日举办的“</w:t>
      </w:r>
      <w:r>
        <w:rPr>
          <w:rFonts w:hint="eastAsia" w:ascii="仿宋" w:hAnsi="仿宋" w:eastAsia="仿宋" w:cs="仿宋"/>
          <w:sz w:val="28"/>
          <w:szCs w:val="28"/>
          <w:rtl w:val="0"/>
          <w:lang w:val="en-US" w:eastAsia="zh-CN"/>
        </w:rPr>
        <w:t>第二</w:t>
      </w:r>
      <w:r>
        <w:rPr>
          <w:rFonts w:hint="eastAsia" w:ascii="仿宋" w:hAnsi="仿宋" w:eastAsia="仿宋" w:cs="仿宋"/>
          <w:sz w:val="28"/>
          <w:szCs w:val="28"/>
          <w:rtl w:val="0"/>
          <w:lang w:val="en-US" w:eastAsia="zh-Hans"/>
        </w:rPr>
        <w:t>届横琴</w:t>
      </w:r>
      <w:r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  <w:t>世界湾区论坛</w:t>
      </w:r>
      <w:r>
        <w:rPr>
          <w:rFonts w:hint="eastAsia" w:ascii="仿宋" w:hAnsi="仿宋" w:eastAsia="仿宋" w:cs="仿宋"/>
          <w:sz w:val="28"/>
          <w:szCs w:val="28"/>
          <w:rtl w:val="0"/>
          <w:lang w:val="zh-TW" w:eastAsia="zh-Hans"/>
        </w:rPr>
        <w:t>”</w:t>
      </w:r>
      <w:r>
        <w:rPr>
          <w:rFonts w:hint="eastAsia" w:ascii="仿宋" w:hAnsi="仿宋" w:eastAsia="仿宋" w:cs="仿宋"/>
          <w:sz w:val="28"/>
          <w:szCs w:val="28"/>
          <w:rtl w:val="0"/>
          <w:lang w:val="en-US" w:eastAsia="zh-CN"/>
        </w:rPr>
        <w:t>金融主题</w:t>
      </w:r>
      <w:r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  <w:t>论坛现场发布</w:t>
      </w:r>
      <w:r>
        <w:rPr>
          <w:rFonts w:hint="eastAsia" w:ascii="仿宋" w:hAnsi="仿宋" w:eastAsia="仿宋" w:cs="仿宋"/>
          <w:sz w:val="28"/>
          <w:szCs w:val="28"/>
          <w:rtl w:val="0"/>
          <w:lang w:val="en-US" w:eastAsia="zh-Hans"/>
        </w:rPr>
        <w:t>征集结果</w:t>
      </w:r>
      <w:r>
        <w:rPr>
          <w:rFonts w:hint="default" w:ascii="仿宋" w:hAnsi="仿宋" w:eastAsia="仿宋" w:cs="仿宋"/>
          <w:sz w:val="28"/>
          <w:szCs w:val="28"/>
          <w:rtl w:val="0"/>
          <w:lang w:val="zh-TW" w:eastAsia="zh-Hans"/>
        </w:rPr>
        <w:t>，</w:t>
      </w:r>
      <w:r>
        <w:rPr>
          <w:rFonts w:hint="eastAsia" w:ascii="仿宋" w:hAnsi="仿宋" w:eastAsia="仿宋" w:cs="仿宋"/>
          <w:sz w:val="28"/>
          <w:szCs w:val="28"/>
          <w:rtl w:val="0"/>
          <w:lang w:val="en-US" w:eastAsia="zh-Hans"/>
        </w:rPr>
        <w:t>并将创新案例</w:t>
      </w:r>
      <w:r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  <w:t>通过编撰</w:t>
      </w:r>
      <w:r>
        <w:rPr>
          <w:rFonts w:hint="eastAsia" w:ascii="仿宋" w:hAnsi="仿宋" w:eastAsia="仿宋" w:cs="仿宋"/>
          <w:sz w:val="28"/>
          <w:szCs w:val="28"/>
          <w:rtl w:val="0"/>
          <w:lang w:val="en-US" w:eastAsia="zh-CN"/>
        </w:rPr>
        <w:t>《2023年湾区金融创新案例报告》</w:t>
      </w:r>
      <w:r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  <w:t>报告并进行公开发布</w:t>
      </w:r>
      <w:r>
        <w:rPr>
          <w:rFonts w:hint="default" w:ascii="仿宋" w:hAnsi="仿宋" w:eastAsia="仿宋" w:cs="仿宋"/>
          <w:sz w:val="28"/>
          <w:szCs w:val="28"/>
          <w:rtl w:val="0"/>
          <w:lang w:eastAsia="zh-TW"/>
        </w:rPr>
        <w:t>，</w:t>
      </w:r>
      <w:r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  <w:t>讲好湾区发展故事。</w:t>
      </w:r>
    </w:p>
    <w:p>
      <w:pPr>
        <w:framePr w:wrap="auto" w:vAnchor="margin" w:hAnchor="text" w:yAlign="inline"/>
        <w:spacing w:line="360" w:lineRule="auto"/>
        <w:ind w:firstLine="640"/>
        <w:rPr>
          <w:rFonts w:hint="eastAsia" w:ascii="仿宋" w:hAnsi="仿宋" w:eastAsia="仿宋" w:cs="仿宋"/>
          <w:sz w:val="28"/>
          <w:szCs w:val="28"/>
          <w:lang w:val="zh-TW" w:eastAsia="zh-TW"/>
        </w:rPr>
      </w:pPr>
    </w:p>
    <w:p>
      <w:pPr>
        <w:framePr w:wrap="auto" w:vAnchor="margin" w:hAnchor="text" w:yAlign="inline"/>
        <w:spacing w:line="360" w:lineRule="auto"/>
        <w:rPr>
          <w:rFonts w:hint="eastAsia" w:ascii="仿宋" w:hAnsi="仿宋" w:eastAsia="仿宋" w:cs="仿宋"/>
          <w:sz w:val="28"/>
          <w:szCs w:val="28"/>
          <w:lang w:val="zh-TW" w:eastAsia="zh-TW"/>
        </w:rPr>
      </w:pPr>
      <w:r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  <w:t>二、活动组织架构</w:t>
      </w:r>
    </w:p>
    <w:p>
      <w:pPr>
        <w:framePr w:wrap="auto" w:vAnchor="margin" w:hAnchor="text" w:yAlign="inline"/>
        <w:spacing w:line="360" w:lineRule="auto"/>
        <w:ind w:firstLine="640"/>
        <w:jc w:val="left"/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</w:pPr>
      <w:r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  <w:t>【指导单位】南方财经全媒体集团</w:t>
      </w:r>
    </w:p>
    <w:p>
      <w:pPr>
        <w:framePr w:wrap="auto" w:vAnchor="margin" w:hAnchor="text" w:yAlign="inline"/>
        <w:spacing w:line="360" w:lineRule="auto"/>
        <w:ind w:firstLine="640"/>
        <w:jc w:val="left"/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</w:pPr>
      <w:r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  <w:t>【主办单位】21世纪经济报道</w:t>
      </w:r>
    </w:p>
    <w:p>
      <w:pPr>
        <w:framePr w:wrap="auto" w:vAnchor="margin" w:hAnchor="text" w:yAlign="inline"/>
        <w:spacing w:line="360" w:lineRule="auto"/>
        <w:ind w:firstLine="640"/>
        <w:jc w:val="left"/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</w:pPr>
      <w:r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  <w:t>【数据支持】粤港澳大湾区（广东）财经数据中心、南财金融终端</w:t>
      </w:r>
    </w:p>
    <w:p>
      <w:pPr>
        <w:framePr w:wrap="auto" w:vAnchor="margin" w:hAnchor="text" w:yAlign="inline"/>
        <w:spacing w:line="360" w:lineRule="auto"/>
        <w:ind w:firstLine="640"/>
        <w:jc w:val="left"/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</w:pPr>
      <w:r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  <w:t>【SFC官方网站】南方财经网</w:t>
      </w:r>
    </w:p>
    <w:p>
      <w:pPr>
        <w:framePr w:wrap="auto" w:vAnchor="margin" w:hAnchor="text" w:yAlign="inline"/>
        <w:spacing w:line="360" w:lineRule="auto"/>
        <w:ind w:firstLine="640"/>
        <w:jc w:val="left"/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</w:pPr>
      <w:r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  <w:t>【SFC官方视频】南财视频</w:t>
      </w:r>
    </w:p>
    <w:p>
      <w:pPr>
        <w:framePr w:wrap="auto" w:vAnchor="margin" w:hAnchor="text" w:yAlign="inline"/>
        <w:spacing w:line="360" w:lineRule="auto"/>
        <w:ind w:firstLine="640"/>
        <w:jc w:val="left"/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</w:pPr>
      <w:r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  <w:t>【官方新媒体】21财经APP</w:t>
      </w:r>
    </w:p>
    <w:p>
      <w:pPr>
        <w:framePr w:wrap="auto" w:vAnchor="margin" w:hAnchor="text" w:yAlign="inline"/>
        <w:spacing w:line="360" w:lineRule="auto"/>
        <w:ind w:firstLine="640"/>
        <w:jc w:val="left"/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</w:pPr>
      <w:r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  <w:t>【年度合作支持媒体】界面新闻、中新经纬</w:t>
      </w:r>
    </w:p>
    <w:p>
      <w:pPr>
        <w:framePr w:wrap="auto" w:vAnchor="margin" w:hAnchor="text" w:yAlign="inline"/>
        <w:spacing w:line="360" w:lineRule="auto"/>
        <w:ind w:firstLine="640"/>
        <w:jc w:val="left"/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</w:pPr>
      <w:r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  <w:t>【战略合作伙伴】《财经》新媒体</w:t>
      </w:r>
    </w:p>
    <w:p>
      <w:pPr>
        <w:framePr w:wrap="auto" w:vAnchor="margin" w:hAnchor="text" w:yAlign="inline"/>
        <w:spacing w:line="360" w:lineRule="auto"/>
        <w:ind w:firstLine="640"/>
        <w:jc w:val="left"/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</w:pPr>
      <w:r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  <w:t>【独家财经门户网站】东方财富网</w:t>
      </w:r>
    </w:p>
    <w:p>
      <w:pPr>
        <w:framePr w:wrap="auto" w:vAnchor="margin" w:hAnchor="text" w:yAlign="inline"/>
        <w:spacing w:line="360" w:lineRule="auto"/>
        <w:ind w:firstLine="640"/>
        <w:jc w:val="left"/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</w:pPr>
      <w:r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  <w:t>【特约合作平台】一点资讯</w:t>
      </w:r>
    </w:p>
    <w:p>
      <w:pPr>
        <w:framePr w:wrap="auto" w:vAnchor="margin" w:hAnchor="text" w:yAlign="inline"/>
        <w:spacing w:line="360" w:lineRule="auto"/>
        <w:ind w:firstLine="640"/>
        <w:jc w:val="left"/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</w:pPr>
      <w:r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  <w:t>【平面媒体】南方日报、南方周末、南方都市报、投资快报、21世纪商业评论、时代周报、中国经营报、每日经济新闻、经济观察报、华夏时报</w:t>
      </w:r>
    </w:p>
    <w:p>
      <w:pPr>
        <w:framePr w:wrap="auto" w:vAnchor="margin" w:hAnchor="text" w:yAlign="inline"/>
        <w:spacing w:line="360" w:lineRule="auto"/>
        <w:ind w:firstLine="640"/>
        <w:jc w:val="left"/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</w:pPr>
      <w:r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  <w:t>【互联网平台】21经济网、财富动力网、网易新闻、凤凰网、证券之星、新浪广东、搜狐</w:t>
      </w:r>
    </w:p>
    <w:p>
      <w:pPr>
        <w:framePr w:wrap="auto" w:vAnchor="margin" w:hAnchor="text" w:yAlign="inline"/>
        <w:spacing w:line="360" w:lineRule="auto"/>
        <w:ind w:firstLine="640"/>
        <w:jc w:val="left"/>
        <w:rPr>
          <w:rFonts w:hint="default" w:ascii="仿宋" w:hAnsi="仿宋" w:eastAsia="仿宋" w:cs="仿宋"/>
          <w:sz w:val="28"/>
          <w:szCs w:val="28"/>
          <w:rtl w:val="0"/>
          <w:lang w:eastAsia="zh-TW"/>
        </w:rPr>
      </w:pPr>
      <w:r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  <w:t>【移动互联网平台】21官方微信（jjbd21）、21官方微博（@21世纪经济报道）、21活动平台微信视频号（21智享汇）、21微信矩阵（21财闻汇/21金融圈/21新健康/21tech/21投资通/21视频/识库/21资管+/最保险）、21微信视频号、21抖音号、21头条号、21企鹅号、21网易号、南方+、时代财经</w:t>
      </w:r>
      <w:r>
        <w:rPr>
          <w:rFonts w:hint="default" w:ascii="仿宋" w:hAnsi="仿宋" w:eastAsia="仿宋" w:cs="仿宋"/>
          <w:sz w:val="28"/>
          <w:szCs w:val="28"/>
          <w:rtl w:val="0"/>
          <w:lang w:eastAsia="zh-TW"/>
        </w:rPr>
        <w:t>。</w:t>
      </w:r>
    </w:p>
    <w:p>
      <w:pPr>
        <w:pStyle w:val="2"/>
        <w:framePr w:wrap="auto" w:vAnchor="margin" w:hAnchor="text" w:yAlign="inline"/>
        <w:rPr>
          <w:rFonts w:hint="default"/>
          <w:lang w:eastAsia="zh-TW"/>
        </w:rPr>
      </w:pPr>
    </w:p>
    <w:p>
      <w:pPr>
        <w:framePr w:wrap="auto" w:vAnchor="margin" w:hAnchor="text" w:yAlign="inline"/>
        <w:spacing w:line="360" w:lineRule="auto"/>
        <w:rPr>
          <w:rFonts w:hint="eastAsia" w:ascii="仿宋" w:hAnsi="仿宋" w:eastAsia="仿宋" w:cs="仿宋"/>
          <w:sz w:val="28"/>
          <w:szCs w:val="28"/>
          <w:lang w:val="zh-TW" w:eastAsia="zh-TW"/>
        </w:rPr>
      </w:pPr>
      <w:r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  <w:t>三、申报对象</w:t>
      </w:r>
    </w:p>
    <w:p>
      <w:pPr>
        <w:framePr w:wrap="auto" w:vAnchor="margin" w:hAnchor="text" w:yAlign="inline"/>
        <w:spacing w:line="360" w:lineRule="auto"/>
        <w:ind w:firstLine="640"/>
        <w:jc w:val="left"/>
        <w:rPr>
          <w:rFonts w:hint="default" w:ascii="仿宋" w:hAnsi="仿宋" w:eastAsia="仿宋" w:cs="仿宋"/>
          <w:sz w:val="28"/>
          <w:szCs w:val="28"/>
          <w:lang w:eastAsia="zh-TW"/>
        </w:rPr>
      </w:pPr>
      <w:r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  <w:t>本届征集的</w:t>
      </w:r>
      <w:r>
        <w:rPr>
          <w:rFonts w:hint="eastAsia" w:ascii="仿宋" w:hAnsi="仿宋" w:eastAsia="仿宋" w:cs="仿宋"/>
          <w:sz w:val="28"/>
          <w:szCs w:val="28"/>
          <w:rtl w:val="0"/>
          <w:lang w:val="en-US" w:eastAsia="zh-CN"/>
        </w:rPr>
        <w:t>案例对象</w:t>
      </w:r>
      <w:r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  <w:t>包括但不限于</w:t>
      </w:r>
      <w:r>
        <w:rPr>
          <w:rFonts w:hint="eastAsia" w:ascii="仿宋" w:hAnsi="仿宋" w:eastAsia="仿宋" w:cs="仿宋"/>
          <w:sz w:val="28"/>
          <w:szCs w:val="28"/>
          <w:rtl w:val="0"/>
          <w:lang w:val="en-US" w:eastAsia="zh-CN"/>
        </w:rPr>
        <w:t>全国范围内</w:t>
      </w:r>
      <w:r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  <w:t>银行、保险、基金、券商</w:t>
      </w:r>
      <w:r>
        <w:rPr>
          <w:rFonts w:hint="eastAsia" w:ascii="仿宋" w:hAnsi="仿宋" w:eastAsia="仿宋" w:cs="仿宋"/>
          <w:sz w:val="28"/>
          <w:szCs w:val="28"/>
          <w:rtl w:val="0"/>
          <w:lang w:val="zh-CN" w:eastAsia="zh-CN"/>
        </w:rPr>
        <w:t>、信托</w:t>
      </w:r>
      <w:r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  <w:t>等金融机构</w:t>
      </w:r>
      <w:r>
        <w:rPr>
          <w:rFonts w:hint="default" w:ascii="仿宋" w:hAnsi="仿宋" w:eastAsia="仿宋" w:cs="仿宋"/>
          <w:sz w:val="28"/>
          <w:szCs w:val="28"/>
          <w:rtl w:val="0"/>
          <w:lang w:eastAsia="zh-Hans"/>
        </w:rPr>
        <w:t>、</w:t>
      </w:r>
      <w:r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  <w:t>金融科技公司</w:t>
      </w:r>
      <w:r>
        <w:rPr>
          <w:rFonts w:hint="default" w:ascii="仿宋" w:hAnsi="仿宋" w:eastAsia="仿宋" w:cs="仿宋"/>
          <w:sz w:val="28"/>
          <w:szCs w:val="28"/>
          <w:rtl w:val="0"/>
          <w:lang w:eastAsia="zh-TW"/>
        </w:rPr>
        <w:t>、</w:t>
      </w:r>
      <w:r>
        <w:rPr>
          <w:rFonts w:hint="eastAsia" w:ascii="仿宋" w:hAnsi="仿宋" w:eastAsia="仿宋" w:cs="仿宋"/>
          <w:sz w:val="28"/>
          <w:szCs w:val="28"/>
          <w:rtl w:val="0"/>
          <w:lang w:val="en-US" w:eastAsia="zh-Hans"/>
        </w:rPr>
        <w:t>第三方服务机构</w:t>
      </w:r>
      <w:r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  <w:t>等</w:t>
      </w:r>
      <w:r>
        <w:rPr>
          <w:rFonts w:hint="eastAsia" w:ascii="仿宋" w:hAnsi="仿宋" w:eastAsia="仿宋" w:cs="仿宋"/>
          <w:sz w:val="28"/>
          <w:szCs w:val="28"/>
          <w:rtl w:val="0"/>
          <w:lang w:val="en-US" w:eastAsia="zh-CN"/>
        </w:rPr>
        <w:t>服务于湾区项目的案例</w:t>
      </w:r>
      <w:r>
        <w:rPr>
          <w:rFonts w:hint="default" w:ascii="仿宋" w:hAnsi="仿宋" w:eastAsia="仿宋" w:cs="仿宋"/>
          <w:sz w:val="28"/>
          <w:szCs w:val="28"/>
          <w:rtl w:val="0"/>
          <w:lang w:eastAsia="zh-TW"/>
        </w:rPr>
        <w:t>。</w:t>
      </w:r>
    </w:p>
    <w:p>
      <w:pPr>
        <w:framePr w:wrap="auto" w:vAnchor="margin" w:hAnchor="text" w:yAlign="inline"/>
        <w:spacing w:line="360" w:lineRule="auto"/>
        <w:ind w:firstLine="640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framePr w:wrap="auto" w:vAnchor="margin" w:hAnchor="text" w:yAlign="inline"/>
        <w:spacing w:line="360" w:lineRule="auto"/>
        <w:rPr>
          <w:rFonts w:hint="eastAsia" w:ascii="仿宋" w:hAnsi="仿宋" w:eastAsia="仿宋" w:cs="仿宋"/>
          <w:sz w:val="28"/>
          <w:szCs w:val="28"/>
          <w:lang w:val="zh-TW" w:eastAsia="zh-TW"/>
        </w:rPr>
      </w:pPr>
      <w:r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  <w:t>四、申报流程</w:t>
      </w:r>
    </w:p>
    <w:p>
      <w:pPr>
        <w:framePr w:wrap="auto" w:vAnchor="margin" w:hAnchor="text" w:yAlign="inline"/>
        <w:numPr>
          <w:ilvl w:val="0"/>
          <w:numId w:val="0"/>
        </w:numPr>
        <w:bidi w:val="0"/>
        <w:spacing w:line="360" w:lineRule="auto"/>
        <w:ind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</w:pPr>
      <w:r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  <w:t>案例征集：即日起</w:t>
      </w:r>
      <w:r>
        <w:rPr>
          <w:rFonts w:hint="eastAsia" w:ascii="仿宋" w:hAnsi="仿宋" w:eastAsia="仿宋" w:cs="仿宋"/>
          <w:sz w:val="28"/>
          <w:szCs w:val="28"/>
          <w:rtl w:val="0"/>
          <w:lang w:val="en-US"/>
        </w:rPr>
        <w:t>-11</w:t>
      </w:r>
      <w:r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  <w:t>月</w:t>
      </w:r>
      <w:r>
        <w:rPr>
          <w:rFonts w:hint="eastAsia" w:ascii="仿宋" w:hAnsi="仿宋" w:eastAsia="仿宋" w:cs="仿宋"/>
          <w:sz w:val="28"/>
          <w:szCs w:val="28"/>
          <w:rtl w:val="0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  <w:t>日</w:t>
      </w:r>
    </w:p>
    <w:p>
      <w:pPr>
        <w:framePr w:wrap="auto" w:vAnchor="margin" w:hAnchor="text" w:yAlign="inline"/>
        <w:numPr>
          <w:ilvl w:val="0"/>
          <w:numId w:val="0"/>
        </w:numPr>
        <w:bidi w:val="0"/>
        <w:spacing w:line="360" w:lineRule="auto"/>
        <w:ind w:right="0" w:rightChars="0" w:firstLine="560" w:firstLineChars="200"/>
        <w:jc w:val="left"/>
        <w:rPr>
          <w:rFonts w:hint="default" w:ascii="仿宋" w:hAnsi="仿宋" w:eastAsia="仿宋" w:cs="仿宋"/>
          <w:sz w:val="28"/>
          <w:szCs w:val="28"/>
          <w:rtl w:val="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  <w:t>评审阶段：</w:t>
      </w:r>
      <w:r>
        <w:rPr>
          <w:rFonts w:hint="eastAsia" w:ascii="仿宋" w:hAnsi="仿宋" w:eastAsia="仿宋" w:cs="仿宋"/>
          <w:sz w:val="28"/>
          <w:szCs w:val="28"/>
          <w:rtl w:val="0"/>
          <w:lang w:val="en-US"/>
        </w:rPr>
        <w:t>202</w:t>
      </w:r>
      <w:r>
        <w:rPr>
          <w:rFonts w:hint="eastAsia" w:ascii="仿宋" w:hAnsi="仿宋" w:eastAsia="仿宋" w:cs="仿宋"/>
          <w:sz w:val="28"/>
          <w:szCs w:val="28"/>
          <w:rtl w:val="0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  <w:t>年</w:t>
      </w:r>
      <w:r>
        <w:rPr>
          <w:rFonts w:hint="eastAsia" w:ascii="仿宋" w:hAnsi="仿宋" w:eastAsia="仿宋" w:cs="仿宋"/>
          <w:sz w:val="28"/>
          <w:szCs w:val="28"/>
          <w:rtl w:val="0"/>
          <w:lang w:val="en-US"/>
        </w:rPr>
        <w:t>11</w:t>
      </w:r>
      <w:r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  <w:t>月</w:t>
      </w:r>
      <w:r>
        <w:rPr>
          <w:rFonts w:hint="eastAsia" w:ascii="仿宋" w:hAnsi="仿宋" w:eastAsia="仿宋" w:cs="仿宋"/>
          <w:sz w:val="28"/>
          <w:szCs w:val="28"/>
          <w:rtl w:val="0"/>
          <w:lang w:val="en-US" w:eastAsia="zh-CN"/>
        </w:rPr>
        <w:t>20日-12月5日</w:t>
      </w:r>
    </w:p>
    <w:p>
      <w:pPr>
        <w:framePr w:wrap="auto" w:vAnchor="margin" w:hAnchor="text" w:yAlign="inline"/>
        <w:numPr>
          <w:ilvl w:val="0"/>
          <w:numId w:val="0"/>
        </w:numPr>
        <w:bidi w:val="0"/>
        <w:spacing w:line="360" w:lineRule="auto"/>
        <w:ind w:left="1959" w:leftChars="266" w:right="0" w:rightChars="0" w:hanging="1400" w:hangingChars="500"/>
        <w:jc w:val="left"/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</w:pPr>
      <w:r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  <w:t>案例发布：</w:t>
      </w:r>
      <w:r>
        <w:rPr>
          <w:rFonts w:hint="eastAsia" w:ascii="仿宋" w:hAnsi="仿宋" w:eastAsia="仿宋" w:cs="仿宋"/>
          <w:sz w:val="28"/>
          <w:szCs w:val="28"/>
          <w:rtl w:val="0"/>
          <w:lang w:val="en-US"/>
        </w:rPr>
        <w:t>202</w:t>
      </w:r>
      <w:r>
        <w:rPr>
          <w:rFonts w:hint="eastAsia" w:ascii="仿宋" w:hAnsi="仿宋" w:eastAsia="仿宋" w:cs="仿宋"/>
          <w:sz w:val="28"/>
          <w:szCs w:val="28"/>
          <w:rtl w:val="0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  <w:t>年</w:t>
      </w:r>
      <w:r>
        <w:rPr>
          <w:rFonts w:hint="eastAsia" w:ascii="仿宋" w:hAnsi="仿宋" w:eastAsia="仿宋" w:cs="仿宋"/>
          <w:sz w:val="28"/>
          <w:szCs w:val="28"/>
          <w:rtl w:val="0"/>
          <w:lang w:val="en-US"/>
        </w:rPr>
        <w:t>12</w:t>
      </w:r>
      <w:r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  <w:t>月</w:t>
      </w:r>
      <w:r>
        <w:rPr>
          <w:rFonts w:hint="eastAsia" w:ascii="仿宋" w:hAnsi="仿宋" w:eastAsia="仿宋" w:cs="仿宋"/>
          <w:sz w:val="28"/>
          <w:szCs w:val="28"/>
          <w:rtl w:val="0"/>
          <w:lang w:val="en-US"/>
        </w:rPr>
        <w:t>1</w:t>
      </w:r>
      <w:r>
        <w:rPr>
          <w:rFonts w:hint="eastAsia" w:ascii="仿宋" w:hAnsi="仿宋" w:eastAsia="仿宋" w:cs="仿宋"/>
          <w:sz w:val="28"/>
          <w:szCs w:val="28"/>
          <w:rtl w:val="0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  <w:t>日（</w:t>
      </w:r>
      <w:r>
        <w:rPr>
          <w:rFonts w:hint="eastAsia" w:ascii="仿宋" w:hAnsi="仿宋" w:eastAsia="仿宋" w:cs="仿宋"/>
          <w:sz w:val="28"/>
          <w:szCs w:val="28"/>
          <w:rtl w:val="0"/>
          <w:lang w:val="en-US" w:eastAsia="zh-Hans"/>
        </w:rPr>
        <w:t>在</w:t>
      </w:r>
      <w:r>
        <w:rPr>
          <w:rFonts w:hint="default" w:ascii="仿宋" w:hAnsi="仿宋" w:eastAsia="仿宋" w:cs="仿宋"/>
          <w:sz w:val="28"/>
          <w:szCs w:val="28"/>
          <w:rtl w:val="0"/>
          <w:lang w:val="zh-TW" w:eastAsia="zh-Hans"/>
        </w:rPr>
        <w:t>202</w:t>
      </w:r>
      <w:r>
        <w:rPr>
          <w:rFonts w:hint="eastAsia" w:ascii="仿宋" w:hAnsi="仿宋" w:eastAsia="仿宋" w:cs="仿宋"/>
          <w:sz w:val="28"/>
          <w:szCs w:val="28"/>
          <w:rtl w:val="0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rtl w:val="0"/>
          <w:lang w:val="en-US" w:eastAsia="zh-Hans"/>
        </w:rPr>
        <w:t>年</w:t>
      </w:r>
      <w:r>
        <w:rPr>
          <w:rFonts w:hint="default" w:ascii="仿宋" w:hAnsi="仿宋" w:eastAsia="仿宋" w:cs="仿宋"/>
          <w:sz w:val="28"/>
          <w:szCs w:val="28"/>
          <w:rtl w:val="0"/>
          <w:lang w:val="zh-TW" w:eastAsia="zh-Hans"/>
        </w:rPr>
        <w:t>12</w:t>
      </w:r>
      <w:r>
        <w:rPr>
          <w:rFonts w:hint="eastAsia" w:ascii="仿宋" w:hAnsi="仿宋" w:eastAsia="仿宋" w:cs="仿宋"/>
          <w:sz w:val="28"/>
          <w:szCs w:val="28"/>
          <w:rtl w:val="0"/>
          <w:lang w:val="en-US" w:eastAsia="zh-Hans"/>
        </w:rPr>
        <w:t>月</w:t>
      </w:r>
      <w:r>
        <w:rPr>
          <w:rFonts w:hint="default" w:ascii="仿宋" w:hAnsi="仿宋" w:eastAsia="仿宋" w:cs="仿宋"/>
          <w:sz w:val="28"/>
          <w:szCs w:val="28"/>
          <w:rtl w:val="0"/>
          <w:lang w:val="zh-TW" w:eastAsia="zh-Hans"/>
        </w:rPr>
        <w:t>1</w:t>
      </w:r>
      <w:r>
        <w:rPr>
          <w:rFonts w:hint="eastAsia" w:ascii="仿宋" w:hAnsi="仿宋" w:eastAsia="仿宋" w:cs="仿宋"/>
          <w:sz w:val="28"/>
          <w:szCs w:val="28"/>
          <w:rtl w:val="0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rtl w:val="0"/>
          <w:lang w:val="en-US" w:eastAsia="zh-Hans"/>
        </w:rPr>
        <w:t>日举办的“</w:t>
      </w:r>
      <w:r>
        <w:rPr>
          <w:rFonts w:hint="eastAsia" w:ascii="仿宋" w:hAnsi="仿宋" w:eastAsia="仿宋" w:cs="仿宋"/>
          <w:sz w:val="28"/>
          <w:szCs w:val="28"/>
          <w:rtl w:val="0"/>
          <w:lang w:val="en-US" w:eastAsia="zh-CN"/>
        </w:rPr>
        <w:t>第二</w:t>
      </w:r>
      <w:r>
        <w:rPr>
          <w:rFonts w:hint="eastAsia" w:ascii="仿宋" w:hAnsi="仿宋" w:eastAsia="仿宋" w:cs="仿宋"/>
          <w:sz w:val="28"/>
          <w:szCs w:val="28"/>
          <w:rtl w:val="0"/>
          <w:lang w:val="en-US" w:eastAsia="zh-Hans"/>
        </w:rPr>
        <w:t>届横琴</w:t>
      </w:r>
      <w:r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  <w:t>世界湾区论坛</w:t>
      </w:r>
      <w:r>
        <w:rPr>
          <w:rFonts w:hint="eastAsia" w:ascii="仿宋" w:hAnsi="仿宋" w:eastAsia="仿宋" w:cs="仿宋"/>
          <w:sz w:val="28"/>
          <w:szCs w:val="28"/>
          <w:rtl w:val="0"/>
          <w:lang w:val="zh-TW" w:eastAsia="zh-Hans"/>
        </w:rPr>
        <w:t>”</w:t>
      </w:r>
      <w:r>
        <w:rPr>
          <w:rFonts w:hint="eastAsia" w:ascii="仿宋" w:hAnsi="仿宋" w:eastAsia="仿宋" w:cs="仿宋"/>
          <w:sz w:val="28"/>
          <w:szCs w:val="28"/>
          <w:rtl w:val="0"/>
          <w:lang w:val="en-US" w:eastAsia="zh-CN"/>
        </w:rPr>
        <w:t>金融主题</w:t>
      </w:r>
      <w:r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  <w:t>论坛现场发布</w:t>
      </w:r>
      <w:r>
        <w:rPr>
          <w:rFonts w:hint="eastAsia" w:ascii="仿宋" w:hAnsi="仿宋" w:eastAsia="仿宋" w:cs="仿宋"/>
          <w:sz w:val="28"/>
          <w:szCs w:val="28"/>
          <w:rtl w:val="0"/>
          <w:lang w:val="en-US" w:eastAsia="zh-Hans"/>
        </w:rPr>
        <w:t>征集结果</w:t>
      </w:r>
      <w:r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  <w:t>）</w:t>
      </w:r>
    </w:p>
    <w:p>
      <w:pPr>
        <w:pStyle w:val="2"/>
        <w:framePr w:wrap="auto" w:vAnchor="margin" w:hAnchor="text" w:yAlign="inline"/>
        <w:rPr>
          <w:rFonts w:hint="eastAsia"/>
          <w:rtl w:val="0"/>
          <w:lang w:val="zh-TW" w:eastAsia="zh-TW"/>
        </w:rPr>
      </w:pPr>
    </w:p>
    <w:p>
      <w:pPr>
        <w:framePr w:wrap="auto" w:vAnchor="margin" w:hAnchor="text" w:yAlign="inline"/>
        <w:shd w:val="clear" w:color="auto" w:fill="auto"/>
        <w:spacing w:line="360" w:lineRule="auto"/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</w:pPr>
      <w:r>
        <w:rPr>
          <w:rFonts w:hint="eastAsia" w:ascii="仿宋" w:hAnsi="仿宋" w:eastAsia="仿宋" w:cs="仿宋"/>
          <w:sz w:val="28"/>
          <w:szCs w:val="28"/>
          <w:rtl w:val="0"/>
          <w:lang w:val="en-US" w:eastAsia="zh-Hans"/>
        </w:rPr>
        <w:t>五</w:t>
      </w:r>
      <w:r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  <w:t>、征集形式</w:t>
      </w:r>
    </w:p>
    <w:p>
      <w:pPr>
        <w:framePr w:wrap="auto" w:vAnchor="margin" w:hAnchor="text" w:yAlign="inline"/>
        <w:spacing w:line="360" w:lineRule="auto"/>
        <w:ind w:firstLine="64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  <w:t>（</w:t>
      </w:r>
      <w:r>
        <w:rPr>
          <w:rFonts w:hint="eastAsia" w:ascii="仿宋" w:hAnsi="仿宋" w:eastAsia="仿宋" w:cs="仿宋"/>
          <w:sz w:val="28"/>
          <w:szCs w:val="28"/>
          <w:rtl w:val="0"/>
          <w:lang w:val="en-US" w:eastAsia="zh-Hans"/>
        </w:rPr>
        <w:t>一</w:t>
      </w:r>
      <w:r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  <w:t>）公开征集</w:t>
      </w:r>
    </w:p>
    <w:p>
      <w:pPr>
        <w:framePr w:wrap="auto" w:vAnchor="margin" w:hAnchor="text" w:yAlign="inline"/>
        <w:spacing w:line="360" w:lineRule="auto"/>
        <w:ind w:firstLine="640"/>
        <w:jc w:val="left"/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</w:pPr>
      <w:r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  <w:t>（</w:t>
      </w:r>
      <w:r>
        <w:rPr>
          <w:rFonts w:hint="eastAsia" w:ascii="仿宋" w:hAnsi="仿宋" w:eastAsia="仿宋" w:cs="仿宋"/>
          <w:sz w:val="28"/>
          <w:szCs w:val="28"/>
          <w:rtl w:val="0"/>
          <w:lang w:val="en-US" w:eastAsia="zh-Hans"/>
        </w:rPr>
        <w:t>二</w:t>
      </w:r>
      <w:r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  <w:t>）专家和机构推荐</w:t>
      </w:r>
    </w:p>
    <w:p>
      <w:pPr>
        <w:pStyle w:val="2"/>
        <w:framePr w:wrap="auto" w:vAnchor="margin" w:hAnchor="text" w:yAlign="inline"/>
        <w:rPr>
          <w:rFonts w:hint="eastAsia"/>
          <w:rtl w:val="0"/>
          <w:lang w:val="zh-TW" w:eastAsia="zh-TW"/>
        </w:rPr>
      </w:pPr>
    </w:p>
    <w:p>
      <w:pPr>
        <w:framePr w:wrap="auto" w:vAnchor="margin" w:hAnchor="text" w:yAlign="inline"/>
        <w:shd w:val="clear" w:color="auto" w:fill="auto"/>
        <w:spacing w:line="360" w:lineRule="auto"/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</w:pPr>
      <w:r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  <w:t>六、申报要求</w:t>
      </w:r>
    </w:p>
    <w:p>
      <w:pPr>
        <w:framePr w:wrap="auto" w:vAnchor="margin" w:hAnchor="text" w:yAlign="inline"/>
        <w:shd w:val="clear" w:color="auto" w:fill="auto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</w:pPr>
      <w:r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  <w:t>（</w:t>
      </w:r>
      <w:r>
        <w:rPr>
          <w:rFonts w:hint="eastAsia" w:ascii="仿宋" w:hAnsi="仿宋" w:eastAsia="仿宋" w:cs="仿宋"/>
          <w:sz w:val="28"/>
          <w:szCs w:val="28"/>
          <w:rtl w:val="0"/>
          <w:lang w:val="en-US" w:eastAsia="zh-Hans"/>
        </w:rPr>
        <w:t>一</w:t>
      </w:r>
      <w:r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  <w:t>）案例应符合党中央、国务院关于发展金融的各项要求，在推动金融助力实体经济、推动社会和谐发展等方面具有积极意义。</w:t>
      </w:r>
    </w:p>
    <w:p>
      <w:pPr>
        <w:framePr w:wrap="auto" w:vAnchor="margin" w:hAnchor="text" w:yAlign="inline"/>
        <w:shd w:val="clear" w:color="auto" w:fill="auto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</w:pPr>
      <w:r>
        <w:rPr>
          <w:rFonts w:hint="default" w:ascii="仿宋" w:hAnsi="仿宋" w:eastAsia="仿宋" w:cs="仿宋"/>
          <w:sz w:val="28"/>
          <w:szCs w:val="28"/>
          <w:rtl w:val="0"/>
          <w:lang w:eastAsia="zh-TW"/>
        </w:rPr>
        <w:t>（</w:t>
      </w:r>
      <w:r>
        <w:rPr>
          <w:rFonts w:hint="eastAsia" w:ascii="仿宋" w:hAnsi="仿宋" w:eastAsia="仿宋" w:cs="仿宋"/>
          <w:sz w:val="28"/>
          <w:szCs w:val="28"/>
          <w:rtl w:val="0"/>
          <w:lang w:val="en-US" w:eastAsia="zh-Hans"/>
        </w:rPr>
        <w:t>二</w:t>
      </w:r>
      <w:r>
        <w:rPr>
          <w:rFonts w:hint="default" w:ascii="仿宋" w:hAnsi="仿宋" w:eastAsia="仿宋" w:cs="仿宋"/>
          <w:sz w:val="28"/>
          <w:szCs w:val="28"/>
          <w:rtl w:val="0"/>
          <w:lang w:eastAsia="zh-TW"/>
        </w:rPr>
        <w:t>）</w:t>
      </w:r>
      <w:r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  <w:t>案例应坚持问题导向，聚焦金融业务发展的难点和痛点，破解发展瓶颈，具备开拓性和示范引领性。</w:t>
      </w:r>
    </w:p>
    <w:p>
      <w:pPr>
        <w:framePr w:wrap="auto" w:vAnchor="margin" w:hAnchor="text" w:yAlign="inline"/>
        <w:shd w:val="clear" w:color="auto" w:fill="auto"/>
        <w:spacing w:line="360" w:lineRule="auto"/>
        <w:ind w:firstLine="560" w:firstLineChars="200"/>
        <w:rPr>
          <w:rFonts w:hint="eastAsia"/>
          <w:lang w:val="zh-TW" w:eastAsia="zh-TW"/>
        </w:rPr>
      </w:pPr>
      <w:r>
        <w:rPr>
          <w:rFonts w:hint="default" w:ascii="仿宋" w:hAnsi="仿宋" w:eastAsia="仿宋" w:cs="仿宋"/>
          <w:sz w:val="28"/>
          <w:szCs w:val="28"/>
          <w:rtl w:val="0"/>
          <w:lang w:eastAsia="zh-TW"/>
        </w:rPr>
        <w:t>（</w:t>
      </w:r>
      <w:r>
        <w:rPr>
          <w:rFonts w:hint="eastAsia" w:ascii="仿宋" w:hAnsi="仿宋" w:eastAsia="仿宋" w:cs="仿宋"/>
          <w:sz w:val="28"/>
          <w:szCs w:val="28"/>
          <w:rtl w:val="0"/>
          <w:lang w:val="en-US" w:eastAsia="zh-Hans"/>
        </w:rPr>
        <w:t>三</w:t>
      </w:r>
      <w:r>
        <w:rPr>
          <w:rFonts w:hint="default" w:ascii="仿宋" w:hAnsi="仿宋" w:eastAsia="仿宋" w:cs="仿宋"/>
          <w:sz w:val="28"/>
          <w:szCs w:val="28"/>
          <w:rtl w:val="0"/>
          <w:lang w:eastAsia="zh-TW"/>
        </w:rPr>
        <w:t>）</w:t>
      </w:r>
      <w:r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  <w:t>案例应有助于金融业的未来发展路径，对于行业机构开展金融创新工作具有积极借鉴意义。</w:t>
      </w:r>
    </w:p>
    <w:p>
      <w:pPr>
        <w:framePr w:wrap="auto" w:vAnchor="margin" w:hAnchor="text" w:yAlign="inline"/>
        <w:spacing w:line="360" w:lineRule="auto"/>
        <w:rPr>
          <w:rFonts w:hint="eastAsia" w:ascii="仿宋" w:hAnsi="仿宋" w:eastAsia="仿宋" w:cs="仿宋"/>
          <w:sz w:val="28"/>
          <w:szCs w:val="28"/>
          <w:rtl w:val="0"/>
          <w:lang w:val="en-US" w:eastAsia="zh-Hans"/>
        </w:rPr>
      </w:pPr>
    </w:p>
    <w:p>
      <w:pPr>
        <w:framePr w:wrap="auto" w:vAnchor="margin" w:hAnchor="text" w:yAlign="inline"/>
        <w:spacing w:line="360" w:lineRule="auto"/>
        <w:rPr>
          <w:rFonts w:hint="eastAsia" w:ascii="仿宋" w:hAnsi="仿宋" w:eastAsia="仿宋" w:cs="仿宋"/>
          <w:sz w:val="28"/>
          <w:szCs w:val="28"/>
          <w:lang w:val="zh-TW" w:eastAsia="zh-TW"/>
        </w:rPr>
      </w:pPr>
      <w:r>
        <w:rPr>
          <w:rFonts w:hint="eastAsia" w:ascii="仿宋" w:hAnsi="仿宋" w:eastAsia="仿宋" w:cs="仿宋"/>
          <w:sz w:val="28"/>
          <w:szCs w:val="28"/>
          <w:rtl w:val="0"/>
          <w:lang w:val="en-US" w:eastAsia="zh-Hans"/>
        </w:rPr>
        <w:t>七</w:t>
      </w:r>
      <w:r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  <w:t>、评定设置</w:t>
      </w:r>
    </w:p>
    <w:p>
      <w:pPr>
        <w:framePr w:wrap="auto" w:vAnchor="margin" w:hAnchor="text" w:yAlign="inline"/>
        <w:spacing w:line="360" w:lineRule="auto"/>
        <w:ind w:firstLine="640"/>
        <w:jc w:val="left"/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</w:pPr>
      <w:r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  <w:t>《</w:t>
      </w:r>
      <w:r>
        <w:rPr>
          <w:rFonts w:hint="eastAsia" w:ascii="仿宋" w:hAnsi="仿宋" w:eastAsia="仿宋" w:cs="仿宋"/>
          <w:sz w:val="28"/>
          <w:szCs w:val="28"/>
          <w:rtl w:val="0"/>
          <w:lang w:val="en-US"/>
        </w:rPr>
        <w:t>202</w:t>
      </w:r>
      <w:r>
        <w:rPr>
          <w:rFonts w:hint="eastAsia" w:ascii="仿宋" w:hAnsi="仿宋" w:eastAsia="仿宋" w:cs="仿宋"/>
          <w:sz w:val="28"/>
          <w:szCs w:val="28"/>
          <w:rtl w:val="0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  <w:t>年度湾区金融创新案例》征集</w:t>
      </w:r>
      <w:r>
        <w:rPr>
          <w:rFonts w:hint="eastAsia" w:ascii="仿宋" w:hAnsi="仿宋" w:eastAsia="仿宋" w:cs="仿宋"/>
          <w:sz w:val="28"/>
          <w:szCs w:val="28"/>
          <w:rtl w:val="0"/>
          <w:lang w:val="en-US" w:eastAsia="zh-Hans"/>
        </w:rPr>
        <w:t>对象涵盖全国各机构</w:t>
      </w:r>
      <w:r>
        <w:rPr>
          <w:rFonts w:hint="default" w:ascii="仿宋" w:hAnsi="仿宋" w:eastAsia="仿宋" w:cs="仿宋"/>
          <w:sz w:val="28"/>
          <w:szCs w:val="28"/>
          <w:rtl w:val="0"/>
          <w:lang w:eastAsia="zh-Hans"/>
        </w:rPr>
        <w:t>、</w:t>
      </w:r>
      <w:r>
        <w:rPr>
          <w:rFonts w:hint="eastAsia" w:ascii="仿宋" w:hAnsi="仿宋" w:eastAsia="仿宋" w:cs="仿宋"/>
          <w:sz w:val="28"/>
          <w:szCs w:val="28"/>
          <w:rtl w:val="0"/>
          <w:lang w:val="en-US" w:eastAsia="zh-Hans"/>
        </w:rPr>
        <w:t>企业服务湾区的优秀创新案例</w:t>
      </w:r>
      <w:r>
        <w:rPr>
          <w:rFonts w:hint="default" w:ascii="仿宋" w:hAnsi="仿宋" w:eastAsia="仿宋" w:cs="仿宋"/>
          <w:sz w:val="28"/>
          <w:szCs w:val="28"/>
          <w:rtl w:val="0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28"/>
          <w:rtl w:val="0"/>
          <w:lang w:val="en-US" w:eastAsia="zh-Hans"/>
        </w:rPr>
        <w:t>案例申报范围</w:t>
      </w:r>
      <w:r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  <w:t>包括</w:t>
      </w:r>
      <w:r>
        <w:rPr>
          <w:rFonts w:hint="eastAsia" w:ascii="仿宋" w:hAnsi="仿宋" w:eastAsia="仿宋" w:cs="仿宋"/>
          <w:sz w:val="28"/>
          <w:szCs w:val="28"/>
          <w:rtl w:val="0"/>
          <w:lang w:val="en-US" w:eastAsia="zh-CN"/>
        </w:rPr>
        <w:t>跨境创新类、社会责任类、区域类</w:t>
      </w:r>
      <w:r>
        <w:rPr>
          <w:rFonts w:hint="eastAsia" w:ascii="仿宋" w:hAnsi="仿宋" w:eastAsia="仿宋" w:cs="仿宋"/>
          <w:sz w:val="28"/>
          <w:szCs w:val="28"/>
          <w:rtl w:val="0"/>
          <w:lang w:val="en-US" w:eastAsia="zh-Hans"/>
        </w:rPr>
        <w:t>等</w:t>
      </w:r>
      <w:r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  <w:t>，具体如下。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6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3" w:hRule="atLeast"/>
        </w:trPr>
        <w:tc>
          <w:tcPr>
            <w:tcW w:w="8516" w:type="dxa"/>
            <w:gridSpan w:val="2"/>
          </w:tcPr>
          <w:p>
            <w:pPr>
              <w:pStyle w:val="2"/>
              <w:framePr w:wrap="auto" w:vAnchor="margin" w:hAnchor="text" w:yAlign="inline"/>
              <w:ind w:left="0" w:leftChars="0" w:firstLine="0" w:firstLineChars="0"/>
              <w:rPr>
                <w:rFonts w:hint="eastAsia"/>
                <w:vertAlign w:val="baseline"/>
                <w:rtl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申报项目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每个机构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最多可申报</w:t>
            </w: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类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3" w:hRule="atLeast"/>
        </w:trPr>
        <w:tc>
          <w:tcPr>
            <w:tcW w:w="1522" w:type="dxa"/>
          </w:tcPr>
          <w:p>
            <w:pPr>
              <w:pStyle w:val="2"/>
              <w:framePr w:wrap="auto" w:vAnchor="margin" w:hAnchor="text" w:yAlign="inline"/>
              <w:ind w:left="0" w:leftChars="0" w:firstLine="0" w:firstLineChars="0"/>
              <w:rPr>
                <w:rFonts w:hint="default" w:ascii="仿宋" w:hAnsi="仿宋" w:eastAsia="仿宋" w:cs="仿宋"/>
                <w:b/>
                <w:bCs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en-US" w:eastAsia="zh-CN"/>
              </w:rPr>
              <w:t>跨境创新类</w:t>
            </w:r>
          </w:p>
        </w:tc>
        <w:tc>
          <w:tcPr>
            <w:tcW w:w="6994" w:type="dxa"/>
          </w:tcPr>
          <w:p>
            <w:pPr>
              <w:pStyle w:val="2"/>
              <w:framePr w:wrap="auto" w:vAnchor="margin" w:hAnchor="text" w:yAlign="inline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□ </w:t>
            </w:r>
            <w:r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en-US" w:eastAsia="zh-TW"/>
              </w:rPr>
              <w:t>QFLP\QDLP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  <w:t>创新优秀案例</w:t>
            </w:r>
          </w:p>
          <w:p>
            <w:pPr>
              <w:pStyle w:val="2"/>
              <w:framePr w:wrap="auto" w:vAnchor="margin" w:hAnchor="text" w:yAlign="inline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□ 跨境理财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  <w:t>资管创新优秀案例</w:t>
            </w:r>
          </w:p>
          <w:p>
            <w:pPr>
              <w:pStyle w:val="2"/>
              <w:framePr w:wrap="auto" w:vAnchor="margin" w:hAnchor="text" w:yAlign="inline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□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en-US" w:eastAsia="zh-CN"/>
              </w:rPr>
              <w:t>自贸区创新产品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  <w:t>优秀案例</w:t>
            </w:r>
          </w:p>
          <w:p>
            <w:pPr>
              <w:pStyle w:val="2"/>
              <w:framePr w:wrap="auto" w:vAnchor="margin" w:hAnchor="text" w:yAlign="inline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□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en-US" w:eastAsia="zh-CN"/>
              </w:rPr>
              <w:t>跨境机构联动创新优秀案例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1" w:hRule="atLeast"/>
        </w:trPr>
        <w:tc>
          <w:tcPr>
            <w:tcW w:w="1522" w:type="dxa"/>
          </w:tcPr>
          <w:p>
            <w:pPr>
              <w:pStyle w:val="2"/>
              <w:framePr w:wrap="auto" w:vAnchor="margin" w:hAnchor="text" w:yAlign="inline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  <w:t>社会责任类</w:t>
            </w:r>
          </w:p>
          <w:p>
            <w:pPr>
              <w:pStyle w:val="2"/>
              <w:framePr w:wrap="auto" w:vAnchor="margin" w:hAnchor="text" w:yAlign="inline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</w:pPr>
          </w:p>
        </w:tc>
        <w:tc>
          <w:tcPr>
            <w:tcW w:w="6994" w:type="dxa"/>
          </w:tcPr>
          <w:p>
            <w:pPr>
              <w:pStyle w:val="2"/>
              <w:framePr w:wrap="auto" w:vAnchor="margin" w:hAnchor="text" w:yAlign="inline"/>
              <w:shd w:val="clear" w:color="auto" w:fill="auto"/>
              <w:rPr>
                <w:rFonts w:hint="eastAsia"/>
                <w:rtl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□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  <w:t>金融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en-US" w:eastAsia="zh-CN"/>
              </w:rPr>
              <w:t>助力绿色发展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  <w:t>创新优秀案例</w:t>
            </w:r>
          </w:p>
          <w:p>
            <w:pPr>
              <w:pStyle w:val="2"/>
              <w:framePr w:wrap="auto" w:vAnchor="margin" w:hAnchor="text" w:yAlign="inline"/>
              <w:shd w:val="clear" w:color="auto" w:fil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□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  <w:t>金融助力制造业发展创新优秀案例</w:t>
            </w:r>
          </w:p>
          <w:p>
            <w:pPr>
              <w:pStyle w:val="2"/>
              <w:framePr w:wrap="auto" w:vAnchor="margin" w:hAnchor="text" w:yAlign="inline"/>
              <w:shd w:val="clear" w:color="auto" w:fil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□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  <w:t>金融助力百千万工程创新优秀案例</w:t>
            </w:r>
          </w:p>
          <w:p>
            <w:pPr>
              <w:pStyle w:val="2"/>
              <w:framePr w:wrap="auto" w:vAnchor="margin" w:hAnchor="text" w:yAlign="inline"/>
              <w:shd w:val="clear" w:color="auto" w:fil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□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en-US" w:eastAsia="zh-CN"/>
              </w:rPr>
              <w:t>金融助力科技创新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  <w:t>优秀案例</w:t>
            </w:r>
          </w:p>
          <w:p>
            <w:pPr>
              <w:pStyle w:val="2"/>
              <w:framePr w:wrap="auto" w:vAnchor="margin" w:hAnchor="text" w:yAlign="inline"/>
              <w:shd w:val="clear" w:color="auto" w:fill="auto"/>
              <w:rPr>
                <w:rFonts w:hint="default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□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  <w:t>金融助力民营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en-US" w:eastAsia="zh-CN"/>
              </w:rPr>
              <w:t>经济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  <w:t>发展创新优秀案例</w:t>
            </w:r>
          </w:p>
          <w:p>
            <w:pPr>
              <w:pStyle w:val="2"/>
              <w:framePr w:wrap="auto" w:vAnchor="margin" w:hAnchor="text" w:yAlign="inline"/>
              <w:shd w:val="clear" w:color="auto" w:fill="auto"/>
              <w:rPr>
                <w:rFonts w:hint="eastAsia"/>
                <w:rtl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□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  <w:t>金融消保投教创新优秀案例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6" w:hRule="atLeast"/>
        </w:trPr>
        <w:tc>
          <w:tcPr>
            <w:tcW w:w="1522" w:type="dxa"/>
          </w:tcPr>
          <w:p>
            <w:pPr>
              <w:pStyle w:val="2"/>
              <w:framePr w:wrap="auto" w:vAnchor="margin" w:hAnchor="text" w:yAlign="inline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  <w:t>区域类</w:t>
            </w:r>
          </w:p>
          <w:p>
            <w:pPr>
              <w:pStyle w:val="2"/>
              <w:framePr w:wrap="auto" w:vAnchor="margin" w:hAnchor="text" w:yAlign="inline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</w:pPr>
          </w:p>
        </w:tc>
        <w:tc>
          <w:tcPr>
            <w:tcW w:w="6994" w:type="dxa"/>
          </w:tcPr>
          <w:p>
            <w:pPr>
              <w:pStyle w:val="2"/>
              <w:framePr w:wrap="auto" w:vAnchor="margin" w:hAnchor="text" w:yAlign="inline"/>
              <w:shd w:val="clear" w:color="auto" w:fil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□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  <w:t>地方金融（小额贷款、保理、典当、融资担保、融资租赁、商业保理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en-US" w:eastAsia="zh-CN"/>
              </w:rPr>
              <w:t>股权投资机构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en-US" w:eastAsia="zh-CN"/>
              </w:rPr>
              <w:t>服务实体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  <w:t>创新优秀案例</w:t>
            </w:r>
          </w:p>
          <w:p>
            <w:pPr>
              <w:pStyle w:val="2"/>
              <w:framePr w:wrap="auto" w:vAnchor="margin" w:hAnchor="text" w:yAlign="inline"/>
              <w:shd w:val="clear" w:color="auto" w:fill="auto"/>
              <w:rPr>
                <w:rFonts w:hint="eastAsia"/>
                <w:rtl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□ 地方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  <w:t>财务公司、金控集团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en-US" w:eastAsia="zh-CN"/>
              </w:rPr>
              <w:t>服务实体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  <w:t>创新优秀案例</w:t>
            </w:r>
          </w:p>
          <w:p>
            <w:pPr>
              <w:pStyle w:val="2"/>
              <w:framePr w:wrap="auto" w:vAnchor="margin" w:hAnchor="text" w:yAlign="inline"/>
              <w:shd w:val="clear" w:color="auto" w:fill="auto"/>
              <w:rPr>
                <w:rFonts w:hint="eastAsia"/>
                <w:rtl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□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  <w:t>金融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en-US" w:eastAsia="zh-CN"/>
              </w:rPr>
              <w:t>助力地方特色经济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  <w:t>创新优秀案例</w:t>
            </w:r>
          </w:p>
        </w:tc>
      </w:tr>
    </w:tbl>
    <w:p>
      <w:pPr>
        <w:framePr w:wrap="auto" w:vAnchor="margin" w:hAnchor="text" w:yAlign="inline"/>
        <w:rPr>
          <w:rFonts w:hint="eastAsia" w:ascii="黑体" w:hAnsi="黑体" w:eastAsia="黑体" w:cs="黑体"/>
          <w:b w:val="0"/>
          <w:bCs/>
          <w:kern w:val="0"/>
          <w:sz w:val="40"/>
          <w:szCs w:val="40"/>
        </w:rPr>
      </w:pPr>
    </w:p>
    <w:p>
      <w:pPr>
        <w:framePr w:wrap="auto" w:vAnchor="margin" w:hAnchor="text" w:yAlign="inline"/>
        <w:rPr>
          <w:rFonts w:hint="eastAsia" w:ascii="黑体" w:hAnsi="黑体" w:eastAsia="黑体" w:cs="黑体"/>
          <w:b w:val="0"/>
          <w:bCs/>
          <w:kern w:val="0"/>
          <w:sz w:val="40"/>
          <w:szCs w:val="40"/>
          <w:rtl w:val="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40"/>
          <w:szCs w:val="40"/>
          <w:rtl w:val="0"/>
          <w:lang w:val="en-US" w:eastAsia="zh-CN"/>
        </w:rPr>
        <w:br w:type="page"/>
      </w:r>
    </w:p>
    <w:p>
      <w:pPr>
        <w:framePr w:wrap="auto" w:vAnchor="margin" w:hAnchor="text" w:yAlign="inline"/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rtl w:val="0"/>
          <w:lang w:val="en-US" w:eastAsia="zh-CN"/>
        </w:rPr>
        <w:t>八</w:t>
      </w:r>
      <w:r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  <w:t>、</w:t>
      </w:r>
      <w:r>
        <w:rPr>
          <w:rFonts w:hint="eastAsia" w:ascii="仿宋" w:hAnsi="仿宋" w:eastAsia="仿宋" w:cs="仿宋"/>
          <w:sz w:val="28"/>
          <w:szCs w:val="28"/>
          <w:rtl w:val="0"/>
          <w:lang w:val="en-US" w:eastAsia="zh-CN"/>
        </w:rPr>
        <w:t>申报入口</w:t>
      </w:r>
    </w:p>
    <w:p>
      <w:pPr>
        <w:framePr w:wrap="auto" w:vAnchor="margin" w:hAnchor="text" w:yAlign="inline"/>
        <w:adjustRightInd w:val="0"/>
        <w:snapToGrid w:val="0"/>
        <w:ind w:left="0" w:leftChars="0" w:firstLine="0" w:firstLineChars="0"/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</w:pP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drawing>
          <wp:inline distT="0" distB="0" distL="114300" distR="114300">
            <wp:extent cx="1899285" cy="1899285"/>
            <wp:effectExtent l="0" t="0" r="5715" b="5715"/>
            <wp:docPr id="1" name="图片 1" descr="二维码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二维码-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99285" cy="189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framePr w:wrap="auto" w:vAnchor="margin" w:hAnchor="text" w:yAlign="inline"/>
        <w:adjustRightInd w:val="0"/>
        <w:snapToGrid w:val="0"/>
        <w:ind w:left="0" w:leftChars="0" w:firstLine="0" w:firstLineChars="0"/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</w:pPr>
    </w:p>
    <w:p>
      <w:pPr>
        <w:pStyle w:val="2"/>
        <w:framePr w:wrap="auto" w:vAnchor="margin" w:hAnchor="text" w:yAlign="inline"/>
        <w:rPr>
          <w:rFonts w:hint="eastAsia"/>
          <w:lang w:val="en-US" w:eastAsia="zh-CN"/>
        </w:rPr>
      </w:pPr>
    </w:p>
    <w:p>
      <w:pPr>
        <w:framePr w:wrap="auto" w:vAnchor="margin" w:hAnchor="text" w:yAlign="inline"/>
        <w:adjustRightInd w:val="0"/>
        <w:snapToGrid w:val="0"/>
        <w:ind w:left="0" w:leftChars="0" w:firstLine="0" w:firstLineChars="0"/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</w:pPr>
    </w:p>
    <w:p>
      <w:pPr>
        <w:framePr w:wrap="auto" w:vAnchor="margin" w:hAnchor="text" w:yAlign="inline"/>
        <w:shd w:val="clear" w:color="auto" w:fill="auto"/>
        <w:spacing w:line="360" w:lineRule="auto"/>
        <w:rPr>
          <w:rFonts w:hint="eastAsia" w:ascii="仿宋" w:hAnsi="仿宋" w:eastAsia="仿宋" w:cs="仿宋"/>
          <w:sz w:val="28"/>
          <w:szCs w:val="28"/>
          <w:rtl w:val="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rtl w:val="0"/>
          <w:lang w:val="en-US" w:eastAsia="zh-CN"/>
        </w:rPr>
        <w:t>九、申报说明</w:t>
      </w:r>
    </w:p>
    <w:p>
      <w:pPr>
        <w:framePr w:wrap="auto" w:vAnchor="margin" w:hAnchor="text" w:yAlign="inline"/>
        <w:shd w:val="clear" w:color="auto" w:fill="auto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（一）扫描二维码</w:t>
      </w:r>
      <w:r>
        <w:rPr>
          <w:rFonts w:hint="eastAsia" w:ascii="仿宋" w:hAnsi="仿宋" w:eastAsia="仿宋" w:cs="仿宋"/>
          <w:sz w:val="24"/>
          <w:szCs w:val="24"/>
        </w:rPr>
        <w:t>填写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相关数据材料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提交后</w:t>
      </w:r>
      <w:r>
        <w:rPr>
          <w:rFonts w:hint="eastAsia" w:ascii="仿宋" w:hAnsi="仿宋" w:eastAsia="仿宋" w:cs="仿宋"/>
          <w:sz w:val="24"/>
          <w:szCs w:val="24"/>
        </w:rPr>
        <w:t>组委会工作人员将在三个工作日内确认报名是否有效。一经确认后，企业不得中途退出。</w:t>
      </w:r>
    </w:p>
    <w:p>
      <w:pPr>
        <w:framePr w:wrap="auto" w:vAnchor="margin" w:hAnchor="text" w:yAlign="inline"/>
        <w:widowControl/>
        <w:numPr>
          <w:ilvl w:val="0"/>
          <w:numId w:val="0"/>
        </w:numPr>
        <w:spacing w:line="360" w:lineRule="auto"/>
        <w:ind w:leftChars="0" w:right="0" w:right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（二）参评</w:t>
      </w:r>
      <w:r>
        <w:rPr>
          <w:rFonts w:hint="eastAsia" w:ascii="仿宋" w:hAnsi="仿宋" w:eastAsia="仿宋" w:cs="仿宋"/>
          <w:sz w:val="24"/>
          <w:szCs w:val="24"/>
        </w:rPr>
        <w:t>最晚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提交截止时间为</w:t>
      </w:r>
      <w:r>
        <w:rPr>
          <w:rStyle w:val="9"/>
          <w:rFonts w:hint="eastAsia" w:ascii="仿宋" w:hAnsi="仿宋" w:eastAsia="仿宋" w:cs="仿宋"/>
          <w:sz w:val="24"/>
          <w:szCs w:val="24"/>
          <w:u w:val="none"/>
        </w:rPr>
        <w:t>202</w:t>
      </w:r>
      <w:r>
        <w:rPr>
          <w:rStyle w:val="9"/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3</w:t>
      </w:r>
      <w:r>
        <w:rPr>
          <w:rStyle w:val="9"/>
          <w:rFonts w:hint="eastAsia" w:ascii="仿宋" w:hAnsi="仿宋" w:eastAsia="仿宋" w:cs="仿宋"/>
          <w:sz w:val="24"/>
          <w:szCs w:val="24"/>
          <w:u w:val="none"/>
        </w:rPr>
        <w:t>年</w:t>
      </w:r>
      <w:r>
        <w:rPr>
          <w:rStyle w:val="9"/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12</w:t>
      </w:r>
      <w:r>
        <w:rPr>
          <w:rStyle w:val="9"/>
          <w:rFonts w:hint="eastAsia" w:ascii="仿宋" w:hAnsi="仿宋" w:eastAsia="仿宋" w:cs="仿宋"/>
          <w:sz w:val="24"/>
          <w:szCs w:val="24"/>
          <w:u w:val="none"/>
        </w:rPr>
        <w:t>月</w:t>
      </w:r>
      <w:r>
        <w:rPr>
          <w:rStyle w:val="9"/>
          <w:rFonts w:hint="default" w:ascii="仿宋" w:hAnsi="仿宋" w:eastAsia="仿宋" w:cs="仿宋"/>
          <w:sz w:val="24"/>
          <w:szCs w:val="24"/>
          <w:u w:val="none"/>
        </w:rPr>
        <w:t>5</w:t>
      </w:r>
      <w:r>
        <w:rPr>
          <w:rStyle w:val="9"/>
          <w:rFonts w:hint="eastAsia" w:ascii="仿宋" w:hAnsi="仿宋" w:eastAsia="仿宋" w:cs="仿宋"/>
          <w:sz w:val="24"/>
          <w:szCs w:val="24"/>
          <w:u w:val="none"/>
        </w:rPr>
        <w:t>日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framePr w:wrap="auto" w:vAnchor="margin" w:hAnchor="text" w:yAlign="inline"/>
        <w:widowControl/>
        <w:numPr>
          <w:ilvl w:val="0"/>
          <w:numId w:val="0"/>
        </w:numPr>
        <w:spacing w:line="360" w:lineRule="auto"/>
        <w:ind w:leftChars="0" w:right="0" w:rightChars="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（三）</w:t>
      </w:r>
      <w:r>
        <w:rPr>
          <w:rFonts w:hint="eastAsia" w:ascii="仿宋" w:hAnsi="仿宋" w:eastAsia="仿宋" w:cs="仿宋"/>
          <w:sz w:val="24"/>
          <w:szCs w:val="24"/>
        </w:rPr>
        <w:t>组委会承诺收到的所有企业资料，除作为审核之用，如未经机构同意，不会以任何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方式向任何个人或机构公开数据。</w:t>
      </w:r>
    </w:p>
    <w:p>
      <w:pPr>
        <w:framePr w:wrap="auto" w:vAnchor="margin" w:hAnchor="text" w:yAlign="inline"/>
        <w:widowControl/>
        <w:numPr>
          <w:ilvl w:val="0"/>
          <w:numId w:val="0"/>
        </w:numPr>
        <w:spacing w:line="360" w:lineRule="auto"/>
        <w:ind w:leftChars="0" w:right="0" w:right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（四）</w:t>
      </w:r>
      <w:r>
        <w:rPr>
          <w:rFonts w:hint="eastAsia" w:ascii="仿宋" w:hAnsi="仿宋" w:eastAsia="仿宋" w:cs="仿宋"/>
          <w:sz w:val="24"/>
          <w:szCs w:val="24"/>
        </w:rPr>
        <w:t>对任何蓄意提供虚假申报资料或信息的企业，研究组有权对其免除参与的资格。</w:t>
      </w:r>
    </w:p>
    <w:p>
      <w:pPr>
        <w:framePr w:wrap="auto" w:vAnchor="margin" w:hAnchor="text" w:yAlign="inline"/>
        <w:widowControl/>
        <w:numPr>
          <w:ilvl w:val="0"/>
          <w:numId w:val="0"/>
        </w:numPr>
        <w:spacing w:line="360" w:lineRule="auto"/>
        <w:ind w:leftChars="0" w:right="0" w:right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（五）</w:t>
      </w:r>
      <w:r>
        <w:rPr>
          <w:rFonts w:hint="eastAsia" w:ascii="仿宋" w:hAnsi="仿宋" w:eastAsia="仿宋" w:cs="仿宋"/>
          <w:sz w:val="24"/>
          <w:szCs w:val="24"/>
        </w:rPr>
        <w:t>征集活动最终解释权归主办方所有。</w:t>
      </w:r>
    </w:p>
    <w:p>
      <w:pPr>
        <w:framePr w:wrap="auto" w:vAnchor="margin" w:hAnchor="text" w:yAlign="inline"/>
        <w:widowControl/>
        <w:numPr>
          <w:ilvl w:val="0"/>
          <w:numId w:val="0"/>
        </w:numPr>
        <w:spacing w:line="360" w:lineRule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组委会咨询电话：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江女士18666087293</w:t>
      </w:r>
    </w:p>
    <w:p>
      <w:pPr>
        <w:framePr w:wrap="auto" w:vAnchor="margin" w:hAnchor="text" w:yAlign="inline"/>
        <w:rPr>
          <w:rFonts w:hint="eastAsia" w:ascii="仿宋" w:hAnsi="仿宋" w:eastAsia="仿宋" w:cs="仿宋"/>
          <w:sz w:val="24"/>
          <w:szCs w:val="24"/>
          <w:lang w:val="en-US" w:eastAsia="zh-Hans"/>
        </w:rPr>
      </w:pP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br w:type="page"/>
      </w:r>
    </w:p>
    <w:p>
      <w:pPr>
        <w:framePr w:wrap="auto" w:vAnchor="margin" w:hAnchor="text" w:yAlign="inline"/>
        <w:shd w:val="clear" w:color="auto" w:fill="auto"/>
        <w:spacing w:line="360" w:lineRule="auto"/>
        <w:rPr>
          <w:rFonts w:hint="default" w:ascii="仿宋" w:hAnsi="仿宋" w:eastAsia="仿宋" w:cs="仿宋"/>
          <w:sz w:val="28"/>
          <w:szCs w:val="28"/>
          <w:rtl w:val="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rtl w:val="0"/>
          <w:lang w:val="en-US" w:eastAsia="zh-CN"/>
        </w:rPr>
        <w:t>十、征集说明</w:t>
      </w:r>
    </w:p>
    <w:p>
      <w:pPr>
        <w:framePr w:wrap="auto" w:vAnchor="margin" w:hAnchor="text" w:yAlign="inline"/>
        <w:spacing w:line="360" w:lineRule="auto"/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rtl w:val="0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  <w:t>征集范围：本届征集</w:t>
      </w:r>
      <w:r>
        <w:rPr>
          <w:rFonts w:hint="eastAsia" w:ascii="仿宋" w:hAnsi="仿宋" w:eastAsia="仿宋" w:cs="仿宋"/>
          <w:sz w:val="28"/>
          <w:szCs w:val="28"/>
          <w:rtl w:val="0"/>
          <w:lang w:val="en-US" w:eastAsia="zh-CN"/>
        </w:rPr>
        <w:t>范围</w:t>
      </w:r>
      <w:r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  <w:t>包括但不限于各银行、保险、基金、券商</w:t>
      </w:r>
      <w:r>
        <w:rPr>
          <w:rFonts w:hint="eastAsia" w:ascii="仿宋" w:hAnsi="仿宋" w:eastAsia="仿宋" w:cs="仿宋"/>
          <w:sz w:val="28"/>
          <w:szCs w:val="28"/>
          <w:rtl w:val="0"/>
          <w:lang w:val="zh-CN" w:eastAsia="zh-CN"/>
        </w:rPr>
        <w:t>、信托</w:t>
      </w:r>
      <w:r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  <w:t>等金融机构</w:t>
      </w:r>
      <w:r>
        <w:rPr>
          <w:rFonts w:hint="default" w:ascii="仿宋" w:hAnsi="仿宋" w:eastAsia="仿宋" w:cs="仿宋"/>
          <w:sz w:val="28"/>
          <w:szCs w:val="28"/>
          <w:rtl w:val="0"/>
          <w:lang w:eastAsia="zh-Hans"/>
        </w:rPr>
        <w:t>、</w:t>
      </w:r>
      <w:r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  <w:t>金融科技公司</w:t>
      </w:r>
      <w:r>
        <w:rPr>
          <w:rFonts w:hint="default" w:ascii="仿宋" w:hAnsi="仿宋" w:eastAsia="仿宋" w:cs="仿宋"/>
          <w:sz w:val="28"/>
          <w:szCs w:val="28"/>
          <w:rtl w:val="0"/>
          <w:lang w:eastAsia="zh-TW"/>
        </w:rPr>
        <w:t>、</w:t>
      </w:r>
      <w:r>
        <w:rPr>
          <w:rFonts w:hint="eastAsia" w:ascii="仿宋" w:hAnsi="仿宋" w:eastAsia="仿宋" w:cs="仿宋"/>
          <w:sz w:val="28"/>
          <w:szCs w:val="28"/>
          <w:rtl w:val="0"/>
          <w:lang w:val="en-US" w:eastAsia="zh-Hans"/>
        </w:rPr>
        <w:t>第三方服务机构</w:t>
      </w:r>
      <w:r>
        <w:rPr>
          <w:rFonts w:hint="eastAsia" w:ascii="仿宋" w:hAnsi="仿宋" w:eastAsia="仿宋" w:cs="仿宋"/>
          <w:sz w:val="28"/>
          <w:szCs w:val="28"/>
          <w:rtl w:val="0"/>
          <w:lang w:val="zh-TW" w:eastAsia="zh-TW"/>
        </w:rPr>
        <w:t>等</w:t>
      </w:r>
      <w:r>
        <w:rPr>
          <w:rFonts w:hint="default" w:ascii="仿宋" w:hAnsi="仿宋" w:eastAsia="仿宋" w:cs="仿宋"/>
          <w:sz w:val="28"/>
          <w:szCs w:val="28"/>
          <w:rtl w:val="0"/>
          <w:lang w:eastAsia="zh-TW"/>
        </w:rPr>
        <w:t>（</w:t>
      </w:r>
      <w:r>
        <w:rPr>
          <w:rFonts w:hint="eastAsia" w:ascii="仿宋" w:hAnsi="仿宋" w:eastAsia="仿宋" w:cs="仿宋"/>
          <w:sz w:val="28"/>
          <w:szCs w:val="28"/>
          <w:rtl w:val="0"/>
          <w:lang w:val="en-US" w:eastAsia="zh-Hans"/>
        </w:rPr>
        <w:t>全国范围</w:t>
      </w:r>
      <w:r>
        <w:rPr>
          <w:rFonts w:hint="default" w:ascii="仿宋" w:hAnsi="仿宋" w:eastAsia="仿宋" w:cs="仿宋"/>
          <w:sz w:val="28"/>
          <w:szCs w:val="28"/>
          <w:rtl w:val="0"/>
          <w:lang w:eastAsia="zh-TW"/>
        </w:rPr>
        <w:t>）</w:t>
      </w:r>
      <w:r>
        <w:rPr>
          <w:rFonts w:hint="eastAsia" w:ascii="仿宋" w:hAnsi="仿宋" w:eastAsia="仿宋" w:cs="仿宋"/>
          <w:sz w:val="28"/>
          <w:szCs w:val="28"/>
          <w:rtl w:val="0"/>
          <w:lang w:val="en-US" w:eastAsia="zh-CN"/>
        </w:rPr>
        <w:t>机构和企业服务于大湾区的优秀案例</w:t>
      </w:r>
      <w:r>
        <w:rPr>
          <w:rFonts w:hint="default" w:ascii="仿宋" w:hAnsi="仿宋" w:eastAsia="仿宋" w:cs="仿宋"/>
          <w:sz w:val="28"/>
          <w:szCs w:val="28"/>
          <w:rtl w:val="0"/>
          <w:lang w:eastAsia="zh-TW"/>
        </w:rPr>
        <w:t>。</w:t>
      </w:r>
      <w:r>
        <w:rPr>
          <w:rFonts w:hint="eastAsia" w:ascii="仿宋" w:hAnsi="仿宋" w:eastAsia="仿宋" w:cs="仿宋"/>
          <w:sz w:val="28"/>
          <w:szCs w:val="28"/>
          <w:rtl w:val="0"/>
          <w:lang w:val="en-US" w:eastAsia="zh-Hans"/>
        </w:rPr>
        <w:t>主要评价指标及内涵参考</w:t>
      </w:r>
      <w:r>
        <w:rPr>
          <w:rFonts w:hint="default" w:ascii="仿宋" w:hAnsi="仿宋" w:eastAsia="仿宋" w:cs="仿宋"/>
          <w:sz w:val="28"/>
          <w:szCs w:val="28"/>
          <w:rtl w:val="0"/>
          <w:lang w:eastAsia="zh-Hans"/>
        </w:rPr>
        <w:t>：</w:t>
      </w:r>
    </w:p>
    <w:tbl>
      <w:tblPr>
        <w:tblStyle w:val="5"/>
        <w:tblW w:w="8798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1"/>
        <w:gridCol w:w="1173"/>
        <w:gridCol w:w="616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</w:tblPrEx>
        <w:trPr>
          <w:trHeight w:val="960" w:hRule="atLeast"/>
          <w:tblCellSpacing w:w="0" w:type="dxa"/>
          <w:jc w:val="center"/>
        </w:trPr>
        <w:tc>
          <w:tcPr>
            <w:tcW w:w="146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framePr w:wrap="auto" w:vAnchor="margin" w:hAnchor="text" w:yAlign="inline"/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rtl w:val="0"/>
                <w:lang w:val="zh-TW" w:eastAsia="zh-TW"/>
              </w:rPr>
              <w:t>评价维度</w:t>
            </w:r>
          </w:p>
        </w:tc>
        <w:tc>
          <w:tcPr>
            <w:tcW w:w="117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framePr w:wrap="auto" w:vAnchor="margin" w:hAnchor="text" w:yAlign="inline"/>
              <w:shd w:val="clear" w:color="auto" w:fill="auto"/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rtl w:val="0"/>
                <w:lang w:val="en-US" w:eastAsia="zh-CN"/>
              </w:rPr>
              <w:t>分值</w:t>
            </w:r>
          </w:p>
        </w:tc>
        <w:tc>
          <w:tcPr>
            <w:tcW w:w="616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framePr w:wrap="auto" w:vAnchor="margin" w:hAnchor="text" w:yAlign="inline"/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rtl w:val="0"/>
                <w:lang w:val="zh-TW" w:eastAsia="zh-TW"/>
              </w:rPr>
              <w:t>指标解释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1658" w:hRule="atLeast"/>
          <w:tblCellSpacing w:w="0" w:type="dxa"/>
          <w:jc w:val="center"/>
        </w:trPr>
        <w:tc>
          <w:tcPr>
            <w:tcW w:w="146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framePr w:wrap="auto" w:vAnchor="margin" w:hAnchor="text" w:yAlign="inline"/>
              <w:shd w:val="clear" w:color="auto" w:fill="auto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rtl w:val="0"/>
                <w:lang w:val="zh-TW" w:eastAsia="zh-TW"/>
              </w:rPr>
              <w:t>创新</w:t>
            </w:r>
            <w:r>
              <w:rPr>
                <w:rFonts w:hint="eastAsia" w:ascii="仿宋" w:hAnsi="仿宋" w:eastAsia="仿宋" w:cs="仿宋"/>
                <w:sz w:val="24"/>
                <w:szCs w:val="24"/>
                <w:rtl w:val="0"/>
                <w:lang w:val="en-US" w:eastAsia="zh-CN"/>
              </w:rPr>
              <w:t>性</w:t>
            </w:r>
          </w:p>
        </w:tc>
        <w:tc>
          <w:tcPr>
            <w:tcW w:w="117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framePr w:wrap="auto" w:vAnchor="margin" w:hAnchor="text" w:yAlign="inline"/>
              <w:shd w:val="clear" w:color="auto" w:fill="auto"/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rtl w:val="0"/>
                <w:lang w:val="en-US" w:eastAsia="zh-CN"/>
              </w:rPr>
              <w:t>30%</w:t>
            </w:r>
          </w:p>
        </w:tc>
        <w:tc>
          <w:tcPr>
            <w:tcW w:w="616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framePr w:wrap="auto" w:vAnchor="margin" w:hAnchor="text" w:yAlign="inline"/>
              <w:shd w:val="clear" w:color="auto" w:fill="auto"/>
              <w:spacing w:line="360" w:lineRule="auto"/>
              <w:jc w:val="left"/>
              <w:rPr>
                <w:rFonts w:hint="default" w:ascii="仿宋" w:hAnsi="仿宋" w:eastAsia="仿宋" w:cs="仿宋"/>
                <w:sz w:val="24"/>
                <w:szCs w:val="24"/>
                <w:rtl w:val="0"/>
                <w:lang w:eastAsia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rtl w:val="0"/>
                <w:lang w:val="en-US" w:eastAsia="zh-Hans"/>
              </w:rPr>
              <w:t>突出案例原创性和创新性</w:t>
            </w:r>
            <w:r>
              <w:rPr>
                <w:rFonts w:hint="default" w:ascii="仿宋" w:hAnsi="仿宋" w:eastAsia="仿宋" w:cs="仿宋"/>
                <w:sz w:val="24"/>
                <w:szCs w:val="24"/>
                <w:rtl w:val="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rtl w:val="0"/>
                <w:lang w:val="en-US" w:eastAsia="zh-Hans"/>
              </w:rPr>
              <w:t>包括但不限于业务领域创新</w:t>
            </w:r>
            <w:r>
              <w:rPr>
                <w:rFonts w:hint="default" w:ascii="仿宋" w:hAnsi="仿宋" w:eastAsia="仿宋" w:cs="仿宋"/>
                <w:sz w:val="24"/>
                <w:szCs w:val="24"/>
                <w:rtl w:val="0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rtl w:val="0"/>
                <w:lang w:val="en-US" w:eastAsia="zh-Hans"/>
              </w:rPr>
              <w:t>产品组合创新</w:t>
            </w:r>
            <w:r>
              <w:rPr>
                <w:rFonts w:hint="default" w:ascii="仿宋" w:hAnsi="仿宋" w:eastAsia="仿宋" w:cs="仿宋"/>
                <w:sz w:val="24"/>
                <w:szCs w:val="24"/>
                <w:rtl w:val="0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rtl w:val="0"/>
                <w:lang w:val="en-US" w:eastAsia="zh-Hans"/>
              </w:rPr>
              <w:t>技术创新</w:t>
            </w:r>
            <w:r>
              <w:rPr>
                <w:rFonts w:hint="default" w:ascii="仿宋" w:hAnsi="仿宋" w:eastAsia="仿宋" w:cs="仿宋"/>
                <w:sz w:val="24"/>
                <w:szCs w:val="24"/>
                <w:rtl w:val="0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rtl w:val="0"/>
                <w:lang w:val="en-US" w:eastAsia="zh-Hans"/>
              </w:rPr>
              <w:t>营销模式创新</w:t>
            </w:r>
            <w:r>
              <w:rPr>
                <w:rFonts w:hint="default" w:ascii="仿宋" w:hAnsi="仿宋" w:eastAsia="仿宋" w:cs="仿宋"/>
                <w:sz w:val="24"/>
                <w:szCs w:val="24"/>
                <w:rtl w:val="0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rtl w:val="0"/>
                <w:lang w:val="en-US" w:eastAsia="zh-Hans"/>
              </w:rPr>
              <w:t>联动机构合作模式创新</w:t>
            </w:r>
            <w:r>
              <w:rPr>
                <w:rFonts w:hint="default" w:ascii="仿宋" w:hAnsi="仿宋" w:eastAsia="仿宋" w:cs="仿宋"/>
                <w:sz w:val="24"/>
                <w:szCs w:val="24"/>
                <w:rtl w:val="0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rtl w:val="0"/>
                <w:lang w:val="en-US" w:eastAsia="zh-Hans"/>
              </w:rPr>
              <w:t>服务对象群体创新等</w:t>
            </w:r>
            <w:r>
              <w:rPr>
                <w:rFonts w:hint="default" w:ascii="仿宋" w:hAnsi="仿宋" w:eastAsia="仿宋" w:cs="仿宋"/>
                <w:sz w:val="24"/>
                <w:szCs w:val="24"/>
                <w:rtl w:val="0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1658" w:hRule="atLeast"/>
          <w:tblCellSpacing w:w="0" w:type="dxa"/>
          <w:jc w:val="center"/>
        </w:trPr>
        <w:tc>
          <w:tcPr>
            <w:tcW w:w="146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framePr w:wrap="auto" w:vAnchor="margin" w:hAnchor="text" w:yAlign="inline"/>
              <w:shd w:val="clear" w:color="auto" w:fill="auto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rtl w:val="0"/>
                <w:lang w:val="en-US" w:eastAsia="zh-CN"/>
              </w:rPr>
              <w:t>实效性</w:t>
            </w:r>
          </w:p>
        </w:tc>
        <w:tc>
          <w:tcPr>
            <w:tcW w:w="117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framePr w:wrap="auto" w:vAnchor="margin" w:hAnchor="text" w:yAlign="inline"/>
              <w:shd w:val="clear" w:color="auto" w:fill="auto"/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rtl w:val="0"/>
                <w:lang w:val="en-US" w:eastAsia="zh-CN"/>
              </w:rPr>
              <w:t>40%</w:t>
            </w:r>
          </w:p>
        </w:tc>
        <w:tc>
          <w:tcPr>
            <w:tcW w:w="616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framePr w:wrap="auto" w:vAnchor="margin" w:hAnchor="text" w:yAlign="inline"/>
              <w:shd w:val="clear" w:color="auto" w:fill="auto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rtl w:val="0"/>
                <w:lang w:val="en-US" w:eastAsia="zh-Hans"/>
              </w:rPr>
              <w:t>创新案例</w:t>
            </w:r>
            <w:r>
              <w:rPr>
                <w:rFonts w:hint="eastAsia" w:ascii="仿宋" w:hAnsi="仿宋" w:eastAsia="仿宋" w:cs="仿宋"/>
                <w:sz w:val="24"/>
                <w:szCs w:val="24"/>
                <w:rtl w:val="0"/>
                <w:lang w:val="zh-TW" w:eastAsia="zh-TW"/>
              </w:rPr>
              <w:t>对</w:t>
            </w:r>
            <w:r>
              <w:rPr>
                <w:rFonts w:hint="eastAsia" w:ascii="仿宋" w:hAnsi="仿宋" w:eastAsia="仿宋" w:cs="仿宋"/>
                <w:sz w:val="24"/>
                <w:szCs w:val="24"/>
                <w:rtl w:val="0"/>
                <w:lang w:val="en-US" w:eastAsia="zh-Hans"/>
              </w:rPr>
              <w:t>推动落实国家重要战略</w:t>
            </w:r>
            <w:r>
              <w:rPr>
                <w:rFonts w:hint="default" w:ascii="仿宋" w:hAnsi="仿宋" w:eastAsia="仿宋" w:cs="仿宋"/>
                <w:sz w:val="24"/>
                <w:szCs w:val="24"/>
                <w:rtl w:val="0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rtl w:val="0"/>
                <w:lang w:val="en-US" w:eastAsia="zh-Hans"/>
              </w:rPr>
              <w:t>大湾区</w:t>
            </w:r>
            <w:r>
              <w:rPr>
                <w:rFonts w:hint="eastAsia" w:ascii="仿宋" w:hAnsi="仿宋" w:eastAsia="仿宋" w:cs="仿宋"/>
                <w:sz w:val="24"/>
                <w:szCs w:val="24"/>
                <w:rtl w:val="0"/>
                <w:lang w:val="zh-TW" w:eastAsia="zh-TW"/>
              </w:rPr>
              <w:t>实体经济、</w:t>
            </w:r>
            <w:r>
              <w:rPr>
                <w:rFonts w:hint="eastAsia" w:ascii="仿宋" w:hAnsi="仿宋" w:eastAsia="仿宋" w:cs="仿宋"/>
                <w:sz w:val="24"/>
                <w:szCs w:val="24"/>
                <w:rtl w:val="0"/>
                <w:lang w:val="en-US" w:eastAsia="zh-Hans"/>
              </w:rPr>
              <w:t>互联互通</w:t>
            </w:r>
            <w:r>
              <w:rPr>
                <w:rFonts w:hint="default" w:ascii="仿宋" w:hAnsi="仿宋" w:eastAsia="仿宋" w:cs="仿宋"/>
                <w:sz w:val="24"/>
                <w:szCs w:val="24"/>
                <w:rtl w:val="0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rtl w:val="0"/>
                <w:lang w:val="zh-TW" w:eastAsia="zh-TW"/>
              </w:rPr>
              <w:t>产业发展、企业</w:t>
            </w:r>
            <w:r>
              <w:rPr>
                <w:rFonts w:hint="eastAsia" w:ascii="仿宋" w:hAnsi="仿宋" w:eastAsia="仿宋" w:cs="仿宋"/>
                <w:sz w:val="24"/>
                <w:szCs w:val="24"/>
                <w:rtl w:val="0"/>
                <w:lang w:val="en-US" w:eastAsia="zh-Hans"/>
              </w:rPr>
              <w:t>发展</w:t>
            </w:r>
            <w:r>
              <w:rPr>
                <w:rFonts w:hint="default" w:ascii="仿宋" w:hAnsi="仿宋" w:eastAsia="仿宋" w:cs="仿宋"/>
                <w:sz w:val="24"/>
                <w:szCs w:val="24"/>
                <w:rtl w:val="0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rtl w:val="0"/>
                <w:lang w:val="en-US" w:eastAsia="zh-Hans"/>
              </w:rPr>
              <w:t>所服务</w:t>
            </w:r>
            <w:r>
              <w:rPr>
                <w:rFonts w:hint="eastAsia" w:ascii="仿宋" w:hAnsi="仿宋" w:eastAsia="仿宋" w:cs="仿宋"/>
                <w:sz w:val="24"/>
                <w:szCs w:val="24"/>
                <w:rtl w:val="0"/>
                <w:lang w:val="en-US" w:eastAsia="zh-CN"/>
              </w:rPr>
              <w:t>客</w:t>
            </w:r>
            <w:r>
              <w:rPr>
                <w:rFonts w:hint="eastAsia" w:ascii="仿宋" w:hAnsi="仿宋" w:eastAsia="仿宋" w:cs="仿宋"/>
                <w:sz w:val="24"/>
                <w:szCs w:val="24"/>
                <w:rtl w:val="0"/>
                <w:lang w:val="en-US" w:eastAsia="zh-Hans"/>
              </w:rPr>
              <w:t>群所带来的成效转化和价值效应</w:t>
            </w:r>
            <w:r>
              <w:rPr>
                <w:rFonts w:hint="eastAsia" w:ascii="仿宋" w:hAnsi="仿宋" w:eastAsia="仿宋" w:cs="仿宋"/>
                <w:sz w:val="24"/>
                <w:szCs w:val="24"/>
                <w:rtl w:val="0"/>
                <w:lang w:val="zh-TW" w:eastAsia="zh-TW"/>
              </w:rPr>
              <w:t>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1151" w:hRule="atLeast"/>
          <w:tblCellSpacing w:w="0" w:type="dxa"/>
          <w:jc w:val="center"/>
        </w:trPr>
        <w:tc>
          <w:tcPr>
            <w:tcW w:w="146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framePr w:wrap="auto" w:vAnchor="margin" w:hAnchor="text" w:yAlign="inline"/>
              <w:shd w:val="clear" w:color="auto" w:fill="auto"/>
              <w:spacing w:line="360" w:lineRule="auto"/>
              <w:jc w:val="left"/>
              <w:rPr>
                <w:rFonts w:hint="default" w:ascii="仿宋" w:hAnsi="仿宋" w:eastAsia="仿宋" w:cs="仿宋"/>
                <w:sz w:val="24"/>
                <w:szCs w:val="24"/>
                <w:rtl w:val="0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rtl w:val="0"/>
                <w:lang w:val="en-US" w:eastAsia="zh-CN"/>
              </w:rPr>
              <w:t>示范性</w:t>
            </w:r>
          </w:p>
        </w:tc>
        <w:tc>
          <w:tcPr>
            <w:tcW w:w="117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framePr w:wrap="auto" w:vAnchor="margin" w:hAnchor="text" w:yAlign="inline"/>
              <w:shd w:val="clear" w:color="auto" w:fill="auto"/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rtl w:val="0"/>
                <w:lang w:val="en-US" w:eastAsia="zh-CN"/>
              </w:rPr>
              <w:t>30%</w:t>
            </w:r>
          </w:p>
        </w:tc>
        <w:tc>
          <w:tcPr>
            <w:tcW w:w="616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framePr w:wrap="auto" w:vAnchor="margin" w:hAnchor="text" w:yAlign="inline"/>
              <w:shd w:val="clear" w:color="auto" w:fill="auto"/>
              <w:spacing w:line="360" w:lineRule="auto"/>
              <w:jc w:val="left"/>
              <w:rPr>
                <w:rFonts w:hint="default" w:ascii="仿宋" w:hAnsi="仿宋" w:eastAsia="仿宋" w:cs="仿宋"/>
                <w:sz w:val="24"/>
                <w:szCs w:val="24"/>
                <w:rtl w:val="0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rtl w:val="0"/>
                <w:lang w:val="en-US" w:eastAsia="zh-Hans"/>
              </w:rPr>
              <w:t>创新案例对其他同业的示范效应及可推广性可复制性</w:t>
            </w:r>
            <w:r>
              <w:rPr>
                <w:rFonts w:hint="default" w:ascii="仿宋" w:hAnsi="仿宋" w:eastAsia="仿宋" w:cs="仿宋"/>
                <w:sz w:val="24"/>
                <w:szCs w:val="24"/>
                <w:rtl w:val="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rtl w:val="0"/>
                <w:lang w:val="en-US" w:eastAsia="zh-Hans"/>
              </w:rPr>
              <w:t>及能为行业带来正向启发与积极影响的能力与表现。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1151" w:hRule="atLeast"/>
          <w:tblCellSpacing w:w="0" w:type="dxa"/>
          <w:jc w:val="center"/>
        </w:trPr>
        <w:tc>
          <w:tcPr>
            <w:tcW w:w="146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framePr w:wrap="auto" w:vAnchor="margin" w:hAnchor="text" w:yAlign="inline"/>
              <w:shd w:val="clear" w:color="auto" w:fill="auto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rtl w:val="0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rtl w:val="0"/>
                <w:lang w:val="en-US" w:eastAsia="zh-CN"/>
              </w:rPr>
              <w:t>合规性</w:t>
            </w:r>
          </w:p>
        </w:tc>
        <w:tc>
          <w:tcPr>
            <w:tcW w:w="7337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framePr w:wrap="auto" w:vAnchor="margin" w:hAnchor="text" w:yAlign="inline"/>
              <w:shd w:val="clear" w:color="auto" w:fill="auto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rtl w:val="0"/>
                <w:lang w:val="en-US" w:eastAsia="zh-CN"/>
              </w:rPr>
              <w:t>不得出现与意识形态、国家政策法规相悖的情况，否则一票否决</w:t>
            </w:r>
          </w:p>
        </w:tc>
      </w:tr>
    </w:tbl>
    <w:p>
      <w:pPr>
        <w:framePr w:wrap="auto" w:vAnchor="margin" w:hAnchor="text" w:yAlign="inline"/>
        <w:shd w:val="clear" w:color="auto" w:fill="auto"/>
        <w:spacing w:line="360" w:lineRule="auto"/>
        <w:ind w:firstLine="640"/>
        <w:jc w:val="left"/>
        <w:rPr>
          <w:rFonts w:hint="default" w:ascii="仿宋" w:hAnsi="仿宋" w:eastAsia="仿宋" w:cs="仿宋"/>
          <w:sz w:val="24"/>
          <w:szCs w:val="24"/>
          <w:rtl w:val="0"/>
          <w:lang w:eastAsia="zh-Hans"/>
        </w:rPr>
      </w:pPr>
    </w:p>
    <w:p>
      <w:pPr>
        <w:framePr w:wrap="auto" w:vAnchor="margin" w:hAnchor="text" w:yAlign="inline"/>
        <w:shd w:val="clear" w:color="auto" w:fill="auto"/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rtl w:val="0"/>
          <w:lang w:val="en-US" w:eastAsia="zh-CN"/>
        </w:rPr>
      </w:pPr>
    </w:p>
    <w:p>
      <w:pPr>
        <w:framePr w:wrap="auto" w:vAnchor="margin" w:hAnchor="text" w:yAlign="inline"/>
        <w:shd w:val="clear" w:color="auto" w:fill="auto"/>
        <w:spacing w:line="360" w:lineRule="auto"/>
        <w:ind w:firstLine="640"/>
        <w:jc w:val="left"/>
        <w:rPr>
          <w:rFonts w:hint="default" w:ascii="仿宋" w:hAnsi="仿宋" w:eastAsia="仿宋" w:cs="仿宋"/>
          <w:sz w:val="24"/>
          <w:szCs w:val="24"/>
          <w:rtl w:val="0"/>
          <w:lang w:val="en-US" w:eastAsia="zh-Hans"/>
        </w:rPr>
      </w:pPr>
    </w:p>
    <w:p>
      <w:pPr>
        <w:framePr w:wrap="auto" w:vAnchor="margin" w:hAnchor="text" w:yAlign="inline"/>
        <w:spacing w:line="360" w:lineRule="auto"/>
        <w:jc w:val="left"/>
      </w:pPr>
    </w:p>
    <w:sectPr>
      <w:headerReference r:id="rId5" w:type="default"/>
      <w:footerReference r:id="rId6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PingFang SC Regular">
    <w:panose1 w:val="020B0400000000000000"/>
    <w:charset w:val="86"/>
    <w:family w:val="roman"/>
    <w:pitch w:val="default"/>
    <w:sig w:usb0="A00002FF" w:usb1="7ACFFDFB" w:usb2="00000017" w:usb3="00000000" w:csb0="00040001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uto" w:vAnchor="margin" w:hAnchor="text" w:yAlign="inline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rsids>
    <w:rsidRoot w:val="00000000"/>
    <w:rsid w:val="03B57FDB"/>
    <w:rsid w:val="0EFB4DC6"/>
    <w:rsid w:val="15E173BB"/>
    <w:rsid w:val="2DB5641E"/>
    <w:rsid w:val="2DC5660E"/>
    <w:rsid w:val="33F4B338"/>
    <w:rsid w:val="36DA53EE"/>
    <w:rsid w:val="377906FA"/>
    <w:rsid w:val="3A8B13C9"/>
    <w:rsid w:val="3FBB0578"/>
    <w:rsid w:val="3FBD7B41"/>
    <w:rsid w:val="4DDEB6DC"/>
    <w:rsid w:val="4FFF8A10"/>
    <w:rsid w:val="5BBF1396"/>
    <w:rsid w:val="5EDB1377"/>
    <w:rsid w:val="5F6F5C34"/>
    <w:rsid w:val="5FBFD867"/>
    <w:rsid w:val="5FFF3C2E"/>
    <w:rsid w:val="63C736C7"/>
    <w:rsid w:val="66FB1E32"/>
    <w:rsid w:val="67FE8CBD"/>
    <w:rsid w:val="6B3A7287"/>
    <w:rsid w:val="6DFDBAB6"/>
    <w:rsid w:val="76FA518A"/>
    <w:rsid w:val="7AFB83D5"/>
    <w:rsid w:val="7B6D8F98"/>
    <w:rsid w:val="7BBF8B30"/>
    <w:rsid w:val="7D7F8250"/>
    <w:rsid w:val="7E6A915D"/>
    <w:rsid w:val="7EFB608B"/>
    <w:rsid w:val="7F7C8488"/>
    <w:rsid w:val="7F7DB8EE"/>
    <w:rsid w:val="7F8F3424"/>
    <w:rsid w:val="7FFE5D51"/>
    <w:rsid w:val="7FFEADB1"/>
    <w:rsid w:val="9FFA20D9"/>
    <w:rsid w:val="AB3F3B66"/>
    <w:rsid w:val="B6AF476A"/>
    <w:rsid w:val="B9F34287"/>
    <w:rsid w:val="B9F78251"/>
    <w:rsid w:val="BA930987"/>
    <w:rsid w:val="BAFF0165"/>
    <w:rsid w:val="BFFD429E"/>
    <w:rsid w:val="BFFFED7D"/>
    <w:rsid w:val="CF9B6379"/>
    <w:rsid w:val="DBCAB0CA"/>
    <w:rsid w:val="DCF8DCAF"/>
    <w:rsid w:val="DFE71FBD"/>
    <w:rsid w:val="ECF47E30"/>
    <w:rsid w:val="F0FF0D4B"/>
    <w:rsid w:val="F3FF216A"/>
    <w:rsid w:val="F5A76314"/>
    <w:rsid w:val="F6BFFFA2"/>
    <w:rsid w:val="F7DF7828"/>
    <w:rsid w:val="FACF4D8B"/>
    <w:rsid w:val="FC3E0621"/>
    <w:rsid w:val="FD121E89"/>
    <w:rsid w:val="FDF4B9D2"/>
    <w:rsid w:val="FEFFABD4"/>
    <w:rsid w:val="FF7BC53F"/>
    <w:rsid w:val="FF943631"/>
    <w:rsid w:val="FF9BD365"/>
    <w:rsid w:val="FFBFAD07"/>
    <w:rsid w:val="FFDB37E1"/>
    <w:rsid w:val="FFFBFACD"/>
    <w:rsid w:val="FFFC3C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0"/>
    <w:pPr>
      <w:ind w:left="420" w:left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qFormat/>
    <w:uiPriority w:val="0"/>
    <w:rPr>
      <w:u w:val="single"/>
    </w:rPr>
  </w:style>
  <w:style w:type="table" w:customStyle="1" w:styleId="10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11">
    <w:name w:val="页眉与页脚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PingFang SC Regular" w:hAnsi="PingFang SC Regular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ScaleCrop>false</ScaleCrop>
  <LinksUpToDate>false</LinksUpToDate>
  <Application>WPS Office_6.2.2.8394_F1E327BC-269C-435d-A152-05C5408002CA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2022-10-25T14:10:00Z</dcterms:created>
  <dc:creator>Data</dc:creator>
  <cp:lastModifiedBy>郭喜儿</cp:lastModifiedBy>
  <dcterms:modified xsi:type="dcterms:W3CDTF">2023-11-01T11:47:37Z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7EADA9F7A28DF8A5625A46636A142985</vt:lpwstr>
  </property>
</Properties>
</file>