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F0" w:rsidRDefault="00CB2AF0" w:rsidP="00CB2AF0">
      <w:pPr>
        <w:jc w:val="left"/>
        <w:rPr>
          <w:rFonts w:ascii="仿宋" w:eastAsia="仿宋" w:hAnsi="仿宋" w:cs="Calibri" w:hint="default"/>
        </w:rPr>
      </w:pPr>
      <w:r>
        <w:rPr>
          <w:rFonts w:ascii="仿宋" w:eastAsia="仿宋" w:hAnsi="仿宋"/>
          <w:lang w:val="zh-CN"/>
        </w:rPr>
        <w:t>附件2</w:t>
      </w:r>
    </w:p>
    <w:p w:rsidR="00CB2AF0" w:rsidRDefault="00CB2AF0" w:rsidP="00CB2AF0">
      <w:pPr>
        <w:pStyle w:val="a5"/>
        <w:widowControl w:val="0"/>
        <w:spacing w:before="0"/>
        <w:jc w:val="center"/>
        <w:rPr>
          <w:rFonts w:ascii="仿宋" w:eastAsia="仿宋" w:hAnsi="仿宋" w:cs="宋体" w:hint="default"/>
          <w:b/>
          <w:bCs/>
          <w:kern w:val="2"/>
          <w:sz w:val="36"/>
          <w:szCs w:val="36"/>
          <w:u w:color="000000"/>
          <w:lang w:val="en-US" w:eastAsia="zh-CN"/>
        </w:rPr>
      </w:pPr>
      <w:r>
        <w:rPr>
          <w:rFonts w:ascii="仿宋" w:eastAsia="仿宋" w:hAnsi="仿宋" w:cs="宋体"/>
          <w:b/>
          <w:bCs/>
          <w:kern w:val="2"/>
          <w:sz w:val="36"/>
          <w:szCs w:val="36"/>
          <w:u w:color="000000"/>
          <w:lang w:val="en-US" w:eastAsia="zh-CN"/>
        </w:rPr>
        <w:t>绿色金融先锋企业2023年度竞争力调研问卷</w:t>
      </w:r>
    </w:p>
    <w:tbl>
      <w:tblPr>
        <w:tblStyle w:val="TableNormal"/>
        <w:tblW w:w="840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100"/>
        <w:gridCol w:w="2100"/>
        <w:gridCol w:w="2100"/>
        <w:gridCol w:w="2101"/>
      </w:tblGrid>
      <w:tr w:rsidR="00CB2AF0" w:rsidTr="00277CBC">
        <w:trPr>
          <w:trHeight w:val="3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>企业名称</w:t>
            </w:r>
          </w:p>
        </w:tc>
        <w:tc>
          <w:tcPr>
            <w:tcW w:w="6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  <w:tr w:rsidR="00CB2AF0" w:rsidTr="00277CBC">
        <w:trPr>
          <w:trHeight w:val="126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>企业性质</w:t>
            </w:r>
          </w:p>
        </w:tc>
        <w:tc>
          <w:tcPr>
            <w:tcW w:w="6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cs="宋体" w:hint="default"/>
                <w:sz w:val="32"/>
                <w:szCs w:val="32"/>
              </w:rPr>
            </w:pPr>
            <w:r>
              <w:rPr>
                <w:rFonts w:ascii="仿宋" w:eastAsia="仿宋" w:hAnsi="仿宋" w:cs="宋体" w:hint="default"/>
                <w:sz w:val="32"/>
                <w:szCs w:val="32"/>
              </w:rPr>
              <w:t>□</w:t>
            </w: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 xml:space="preserve">股份有限公司          </w:t>
            </w:r>
            <w:r>
              <w:rPr>
                <w:rFonts w:ascii="仿宋" w:eastAsia="仿宋" w:hAnsi="仿宋" w:cs="宋体" w:hint="default"/>
                <w:sz w:val="32"/>
                <w:szCs w:val="32"/>
              </w:rPr>
              <w:t>□</w:t>
            </w: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>有限责任公司</w:t>
            </w:r>
          </w:p>
          <w:p w:rsidR="00CB2AF0" w:rsidRDefault="00CB2AF0" w:rsidP="00277CBC">
            <w:pPr>
              <w:rPr>
                <w:rFonts w:ascii="仿宋" w:eastAsia="仿宋" w:hAnsi="仿宋" w:cs="宋体" w:hint="default"/>
                <w:sz w:val="32"/>
                <w:szCs w:val="32"/>
              </w:rPr>
            </w:pPr>
            <w:r>
              <w:rPr>
                <w:rFonts w:ascii="仿宋" w:eastAsia="仿宋" w:hAnsi="仿宋" w:cs="宋体" w:hint="default"/>
                <w:sz w:val="32"/>
                <w:szCs w:val="32"/>
              </w:rPr>
              <w:t>□</w:t>
            </w: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>中外合资企业</w:t>
            </w:r>
            <w:r>
              <w:rPr>
                <w:rFonts w:ascii="仿宋" w:eastAsia="仿宋" w:hAnsi="仿宋" w:cs="宋体"/>
                <w:sz w:val="32"/>
                <w:szCs w:val="32"/>
              </w:rPr>
              <w:t>/</w:t>
            </w: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 xml:space="preserve">合作企业 </w:t>
            </w:r>
            <w:r>
              <w:rPr>
                <w:rFonts w:ascii="仿宋" w:eastAsia="仿宋" w:hAnsi="仿宋" w:cs="宋体" w:hint="default"/>
                <w:sz w:val="32"/>
                <w:szCs w:val="32"/>
              </w:rPr>
              <w:t>□</w:t>
            </w: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>外商独资</w:t>
            </w:r>
          </w:p>
          <w:p w:rsidR="00CB2AF0" w:rsidRDefault="00CB2AF0" w:rsidP="00277CBC">
            <w:pPr>
              <w:rPr>
                <w:rFonts w:ascii="仿宋" w:eastAsia="仿宋" w:hAnsi="仿宋" w:cs="宋体" w:hint="default"/>
                <w:sz w:val="32"/>
                <w:szCs w:val="32"/>
              </w:rPr>
            </w:pPr>
            <w:r>
              <w:rPr>
                <w:rFonts w:ascii="仿宋" w:eastAsia="仿宋" w:hAnsi="仿宋" w:cs="宋体" w:hint="default"/>
                <w:sz w:val="32"/>
                <w:szCs w:val="32"/>
              </w:rPr>
              <w:t>□</w:t>
            </w: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 xml:space="preserve">国有企业              </w:t>
            </w:r>
            <w:r>
              <w:rPr>
                <w:rFonts w:ascii="仿宋" w:eastAsia="仿宋" w:hAnsi="仿宋" w:cs="宋体" w:hint="default"/>
                <w:sz w:val="32"/>
                <w:szCs w:val="32"/>
              </w:rPr>
              <w:t>□</w:t>
            </w: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>集体企业</w:t>
            </w:r>
          </w:p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hint="default"/>
                <w:sz w:val="32"/>
                <w:szCs w:val="32"/>
              </w:rPr>
              <w:t>□</w:t>
            </w: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 xml:space="preserve">合伙企业              </w:t>
            </w:r>
            <w:r>
              <w:rPr>
                <w:rFonts w:ascii="仿宋" w:eastAsia="仿宋" w:hAnsi="仿宋" w:hint="default"/>
                <w:sz w:val="32"/>
                <w:szCs w:val="32"/>
              </w:rPr>
              <w:t>□</w:t>
            </w: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>个人独资企业</w:t>
            </w:r>
          </w:p>
        </w:tc>
      </w:tr>
      <w:tr w:rsidR="00CB2AF0" w:rsidTr="00277CBC">
        <w:trPr>
          <w:trHeight w:val="3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>所属行业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>所在国家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  <w:tr w:rsidR="00CB2AF0" w:rsidTr="00277CBC">
        <w:trPr>
          <w:trHeight w:val="3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>地址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>注册资金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  <w:tr w:rsidR="00CB2AF0" w:rsidTr="00277CBC">
        <w:trPr>
          <w:trHeight w:val="3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>联系人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  <w:lang w:val="zh-TW" w:eastAsia="zh-TW"/>
              </w:rPr>
              <w:t>电话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2256" w:tblpY="2"/>
        <w:tblOverlap w:val="never"/>
        <w:tblW w:w="835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728"/>
        <w:gridCol w:w="3240"/>
        <w:gridCol w:w="3387"/>
      </w:tblGrid>
      <w:tr w:rsidR="00CB2AF0" w:rsidTr="00277CBC">
        <w:trPr>
          <w:trHeight w:val="34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cs="宋体"/>
                <w:b/>
                <w:bCs/>
                <w:sz w:val="32"/>
                <w:szCs w:val="32"/>
                <w:lang w:val="zh-TW" w:eastAsia="zh-TW"/>
              </w:rPr>
              <w:t>定性指标：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  <w:tr w:rsidR="00CB2AF0" w:rsidTr="00277CBC">
        <w:trPr>
          <w:trHeight w:val="870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jc w:val="center"/>
              <w:rPr>
                <w:rFonts w:ascii="仿宋" w:eastAsia="仿宋" w:hAnsi="仿宋" w:hint="default"/>
                <w:sz w:val="32"/>
                <w:szCs w:val="32"/>
                <w:lang w:val="zh-TW" w:eastAsia="zh-TW"/>
              </w:rPr>
            </w:pPr>
          </w:p>
          <w:p w:rsidR="00CB2AF0" w:rsidRDefault="00CB2AF0" w:rsidP="00277CBC">
            <w:pPr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提出明确绿色金融战略目标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是否提出绿色金融发展战略目标和规划、治理等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pStyle w:val="a5"/>
              <w:widowControl w:val="0"/>
              <w:spacing w:before="0"/>
              <w:ind w:firstLine="63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是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 xml:space="preserve">     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 w:rsidR="00CB2AF0" w:rsidTr="00277CBC">
        <w:trPr>
          <w:trHeight w:val="60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设置保障绿色目标实现的部门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tabs>
                <w:tab w:val="left" w:pos="849"/>
              </w:tabs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是否设置保障绿色目标实现的执行部门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pStyle w:val="a5"/>
              <w:widowControl w:val="0"/>
              <w:spacing w:before="0"/>
              <w:ind w:firstLine="63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是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 xml:space="preserve">     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 w:rsidR="00CB2AF0" w:rsidTr="00277CBC">
        <w:trPr>
          <w:trHeight w:val="60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jc w:val="center"/>
              <w:rPr>
                <w:rFonts w:ascii="仿宋" w:eastAsia="仿宋" w:hAnsi="仿宋" w:hint="default"/>
                <w:sz w:val="32"/>
                <w:szCs w:val="32"/>
                <w:lang w:val="zh-TW" w:eastAsia="zh-TW"/>
              </w:rPr>
            </w:pPr>
          </w:p>
          <w:p w:rsidR="00CB2AF0" w:rsidRDefault="00CB2AF0" w:rsidP="00277CBC">
            <w:pPr>
              <w:jc w:val="center"/>
              <w:rPr>
                <w:rFonts w:ascii="仿宋" w:eastAsia="仿宋" w:hAnsi="仿宋" w:hint="default"/>
                <w:sz w:val="32"/>
                <w:szCs w:val="32"/>
                <w:lang w:val="zh-TW" w:eastAsia="zh-TW"/>
              </w:rPr>
            </w:pPr>
          </w:p>
          <w:p w:rsidR="00CB2AF0" w:rsidRDefault="00CB2AF0" w:rsidP="00277CBC">
            <w:pPr>
              <w:jc w:val="center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发布社会责任或</w:t>
            </w:r>
            <w:r>
              <w:rPr>
                <w:rFonts w:ascii="仿宋" w:eastAsia="仿宋" w:hAnsi="仿宋"/>
                <w:sz w:val="32"/>
                <w:szCs w:val="32"/>
                <w:lang w:val="de-DE"/>
              </w:rPr>
              <w:t>ESG</w:t>
            </w: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的报告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tabs>
                <w:tab w:val="left" w:pos="849"/>
              </w:tabs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lastRenderedPageBreak/>
              <w:t>机构是否定期披露自</w:t>
            </w: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lastRenderedPageBreak/>
              <w:t>身社会责任、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  <w:lang w:val="de-DE"/>
              </w:rPr>
              <w:t>ESG</w:t>
            </w: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报告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pStyle w:val="a5"/>
              <w:widowControl w:val="0"/>
              <w:spacing w:before="0"/>
              <w:ind w:firstLine="63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lastRenderedPageBreak/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是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 xml:space="preserve">     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 w:rsidR="00CB2AF0" w:rsidTr="00277CBC">
        <w:trPr>
          <w:trHeight w:val="330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tabs>
                <w:tab w:val="left" w:pos="849"/>
              </w:tabs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是否考虑自身减排工作情况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pStyle w:val="a5"/>
              <w:widowControl w:val="0"/>
              <w:spacing w:before="0"/>
              <w:ind w:firstLine="63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是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 xml:space="preserve">     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 w:rsidR="00CB2AF0" w:rsidTr="00277CBC">
        <w:trPr>
          <w:trHeight w:val="1160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tabs>
                <w:tab w:val="left" w:pos="849"/>
              </w:tabs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是否自行监测自身低碳环保行为，包括运用绿色金融科技创新、绿色办公场所、绿色办公、绿色出行等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pStyle w:val="a5"/>
              <w:widowControl w:val="0"/>
              <w:spacing w:before="0"/>
              <w:ind w:firstLine="63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>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是</w:t>
            </w:r>
            <w:r>
              <w:rPr>
                <w:rFonts w:ascii="仿宋" w:eastAsia="仿宋" w:hAnsi="仿宋" w:hint="default"/>
                <w:kern w:val="2"/>
                <w:sz w:val="32"/>
                <w:szCs w:val="32"/>
                <w:u w:color="000000"/>
                <w:lang w:val="en-US"/>
              </w:rPr>
              <w:t xml:space="preserve">     □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否</w:t>
            </w:r>
          </w:p>
        </w:tc>
      </w:tr>
      <w:tr w:rsidR="00CB2AF0" w:rsidTr="00277CBC">
        <w:trPr>
          <w:trHeight w:val="3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定量指标：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</w:tr>
      <w:tr w:rsidR="00CB2AF0" w:rsidTr="00277CBC">
        <w:trPr>
          <w:trHeight w:val="33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  <w:lang w:val="zh-TW" w:eastAsia="zh-TW"/>
              </w:rPr>
            </w:pPr>
          </w:p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绿色金融业务总额占比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绿色金融项目发展的资金规模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kern w:val="2"/>
                <w:sz w:val="32"/>
                <w:szCs w:val="32"/>
                <w:u w:color="000000"/>
                <w:lang w:val="en-US"/>
              </w:rPr>
              <w:t>________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（万元人民币）</w:t>
            </w:r>
          </w:p>
        </w:tc>
      </w:tr>
      <w:tr w:rsidR="00CB2AF0" w:rsidTr="00277CBC">
        <w:trPr>
          <w:trHeight w:val="600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绿色金融业务占主营总额比例多少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kern w:val="2"/>
                <w:sz w:val="32"/>
                <w:szCs w:val="32"/>
                <w:u w:color="000000"/>
                <w:lang w:val="en-US"/>
              </w:rPr>
              <w:t>________</w:t>
            </w:r>
            <w:r>
              <w:rPr>
                <w:rFonts w:ascii="仿宋" w:eastAsia="仿宋" w:hAnsi="仿宋"/>
                <w:kern w:val="2"/>
                <w:sz w:val="32"/>
                <w:szCs w:val="32"/>
                <w:u w:color="000000"/>
              </w:rPr>
              <w:t>%</w:t>
            </w:r>
          </w:p>
        </w:tc>
      </w:tr>
      <w:tr w:rsidR="00CB2AF0" w:rsidTr="00277CBC">
        <w:trPr>
          <w:trHeight w:val="600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绿色金融业务占主营总额同比增速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kern w:val="2"/>
                <w:sz w:val="32"/>
                <w:szCs w:val="32"/>
                <w:u w:color="000000"/>
                <w:lang w:val="en-US"/>
              </w:rPr>
              <w:t>________</w:t>
            </w:r>
            <w:r>
              <w:rPr>
                <w:rFonts w:ascii="仿宋" w:eastAsia="仿宋" w:hAnsi="仿宋"/>
                <w:kern w:val="2"/>
                <w:sz w:val="32"/>
                <w:szCs w:val="32"/>
                <w:u w:color="000000"/>
              </w:rPr>
              <w:t>%</w:t>
            </w:r>
          </w:p>
        </w:tc>
      </w:tr>
      <w:tr w:rsidR="00CB2AF0" w:rsidTr="00277CBC">
        <w:trPr>
          <w:trHeight w:val="11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金融支持绿色产业发展情况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  <w:lang w:val="zh-TW" w:eastAsia="zh-TW"/>
              </w:rPr>
              <w:t>支持绿色产业、项目发展，比如绿色信贷发放、绿色债券发行、绿色保险等业务规模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AF0" w:rsidRDefault="00CB2AF0" w:rsidP="00277CBC">
            <w:pPr>
              <w:pStyle w:val="a5"/>
              <w:widowControl w:val="0"/>
              <w:spacing w:before="0"/>
              <w:jc w:val="both"/>
              <w:rPr>
                <w:rFonts w:ascii="仿宋" w:eastAsia="仿宋" w:hAnsi="仿宋" w:hint="default"/>
                <w:sz w:val="32"/>
                <w:szCs w:val="32"/>
              </w:rPr>
            </w:pPr>
            <w:r>
              <w:rPr>
                <w:rFonts w:ascii="仿宋" w:eastAsia="仿宋" w:hAnsi="仿宋"/>
                <w:kern w:val="2"/>
                <w:sz w:val="32"/>
                <w:szCs w:val="32"/>
                <w:u w:color="000000"/>
                <w:lang w:val="en-US"/>
              </w:rPr>
              <w:t>________</w:t>
            </w:r>
            <w:r>
              <w:rPr>
                <w:rFonts w:ascii="仿宋" w:eastAsia="仿宋" w:hAnsi="仿宋" w:cs="宋体"/>
                <w:kern w:val="2"/>
                <w:sz w:val="32"/>
                <w:szCs w:val="32"/>
                <w:u w:color="000000"/>
              </w:rPr>
              <w:t>（万元人民币）</w:t>
            </w:r>
          </w:p>
        </w:tc>
      </w:tr>
    </w:tbl>
    <w:p w:rsidR="00000000" w:rsidRDefault="00CB2AF0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AF0" w:rsidRDefault="00CB2AF0" w:rsidP="00CB2AF0">
      <w:r>
        <w:separator/>
      </w:r>
    </w:p>
  </w:endnote>
  <w:endnote w:type="continuationSeparator" w:id="1">
    <w:p w:rsidR="00CB2AF0" w:rsidRDefault="00CB2AF0" w:rsidP="00CB2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AF0" w:rsidRDefault="00CB2AF0" w:rsidP="00CB2AF0">
      <w:r>
        <w:separator/>
      </w:r>
    </w:p>
  </w:footnote>
  <w:footnote w:type="continuationSeparator" w:id="1">
    <w:p w:rsidR="00CB2AF0" w:rsidRDefault="00CB2AF0" w:rsidP="00CB2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AF0"/>
    <w:rsid w:val="00CB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F0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A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A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AF0"/>
    <w:rPr>
      <w:sz w:val="18"/>
      <w:szCs w:val="18"/>
    </w:rPr>
  </w:style>
  <w:style w:type="table" w:customStyle="1" w:styleId="TableNormal">
    <w:name w:val="Table Normal"/>
    <w:qFormat/>
    <w:rsid w:val="00CB2AF0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默认"/>
    <w:qFormat/>
    <w:rsid w:val="00CB2AF0"/>
    <w:pPr>
      <w:spacing w:before="160"/>
    </w:pPr>
    <w:rPr>
      <w:rFonts w:ascii="Arial Unicode MS" w:eastAsia="Helvetica Neue" w:hAnsi="Arial Unicode MS" w:cs="Arial Unicode MS" w:hint="eastAsia"/>
      <w:color w:val="000000"/>
      <w:kern w:val="0"/>
      <w:sz w:val="24"/>
      <w:szCs w:val="24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liboya</dc:creator>
  <cp:keywords/>
  <dc:description/>
  <cp:lastModifiedBy>liboya</cp:lastModifiedBy>
  <cp:revision>2</cp:revision>
  <dcterms:created xsi:type="dcterms:W3CDTF">2023-10-13T06:18:00Z</dcterms:created>
  <dcterms:modified xsi:type="dcterms:W3CDTF">2023-10-13T06:18:00Z</dcterms:modified>
</cp:coreProperties>
</file>